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5CD9D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b/>
          <w:bCs/>
          <w:shd w:val="clear" w:color="auto" w:fill="F5F5F5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5F5F5"/>
        </w:rPr>
        <w:t>SUPPLEMENTAAL TABLES</w:t>
      </w:r>
    </w:p>
    <w:p w14:paraId="056E0D94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6A0B9EE2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5F5F5"/>
        </w:rPr>
        <w:t>SUPPLEMENTARY Table 1 S1:</w:t>
      </w:r>
      <w:r>
        <w:rPr>
          <w:rFonts w:ascii="Times New Roman" w:eastAsia="Times New Roman" w:hAnsi="Times New Roman" w:cs="Times New Roman"/>
          <w:shd w:val="clear" w:color="auto" w:fill="F5F5F5"/>
        </w:rPr>
        <w:t xml:space="preserve"> Histological analysis comparing cNAS to Bald Zones in patients with concomitant biopsies of the cNAS and Bald zones who showed PIILIF</w:t>
      </w:r>
    </w:p>
    <w:p w14:paraId="5ADB462D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 xml:space="preserve"> </w:t>
      </w:r>
    </w:p>
    <w:tbl>
      <w:tblPr>
        <w:tblStyle w:val="a"/>
        <w:tblW w:w="86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1"/>
        <w:gridCol w:w="1471"/>
        <w:gridCol w:w="1253"/>
        <w:gridCol w:w="1384"/>
      </w:tblGrid>
      <w:tr w:rsidR="00DA5F6E" w14:paraId="7188BCE1" w14:textId="77777777">
        <w:trPr>
          <w:trHeight w:val="990"/>
        </w:trPr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92012C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14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E7D1B6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*Balding site</w:t>
            </w:r>
          </w:p>
          <w:p w14:paraId="3090563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 N = 18</w:t>
            </w:r>
          </w:p>
        </w:tc>
        <w:tc>
          <w:tcPr>
            <w:tcW w:w="125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C477C9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*cNAS</w:t>
            </w:r>
          </w:p>
          <w:p w14:paraId="4D8401E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 = 18</w:t>
            </w:r>
          </w:p>
        </w:tc>
        <w:tc>
          <w:tcPr>
            <w:tcW w:w="13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C48D7B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**P Value </w:t>
            </w:r>
          </w:p>
        </w:tc>
      </w:tr>
      <w:tr w:rsidR="00DA5F6E" w14:paraId="207AD92D" w14:textId="77777777">
        <w:trPr>
          <w:trHeight w:val="3540"/>
        </w:trPr>
        <w:tc>
          <w:tcPr>
            <w:tcW w:w="45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5C2FA6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Perifollicular changes </w:t>
            </w: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infundibulo-Isthmic</w:t>
            </w:r>
          </w:p>
          <w:p w14:paraId="440DF6A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(upper follicle above arrector pili insertion)</w:t>
            </w:r>
          </w:p>
          <w:p w14:paraId="66BC09F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56D7CD8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Lymphocytes</w:t>
            </w:r>
          </w:p>
          <w:p w14:paraId="2FF5A59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Plasma cells</w:t>
            </w:r>
          </w:p>
          <w:p w14:paraId="7DDE65F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Lymphohistiocytes</w:t>
            </w:r>
          </w:p>
          <w:p w14:paraId="57FBE72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Neutrophils</w:t>
            </w:r>
          </w:p>
          <w:p w14:paraId="75E0161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Fibrosis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0BC566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444BBCE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289AE40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18 (100%)</w:t>
            </w:r>
          </w:p>
          <w:p w14:paraId="592BA36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 (11%)</w:t>
            </w:r>
          </w:p>
          <w:p w14:paraId="7A28C11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0883A5C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3D7BC63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18 (100%)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06F2C2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53FDB2A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46BB8C6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17 (94%)</w:t>
            </w:r>
          </w:p>
          <w:p w14:paraId="24054BA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7A349E3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4FA6553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3B1FB92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18 (100%)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B0E0FE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75845CB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71E4DB5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&gt;0.9</w:t>
            </w:r>
          </w:p>
          <w:p w14:paraId="73BFD8A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0.5</w:t>
            </w:r>
          </w:p>
          <w:p w14:paraId="21E720C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&gt;0.9</w:t>
            </w:r>
          </w:p>
          <w:p w14:paraId="3AE0A53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&gt;0.9</w:t>
            </w:r>
          </w:p>
          <w:p w14:paraId="572E262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&gt;0.9</w:t>
            </w:r>
          </w:p>
        </w:tc>
      </w:tr>
      <w:tr w:rsidR="00DA5F6E" w14:paraId="3792D33B" w14:textId="77777777">
        <w:trPr>
          <w:trHeight w:val="3540"/>
        </w:trPr>
        <w:tc>
          <w:tcPr>
            <w:tcW w:w="45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3EA448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Perifollicular changes, </w:t>
            </w: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bulbar</w:t>
            </w:r>
          </w:p>
          <w:p w14:paraId="6D52C25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(lower follicle, hair bulb region)</w:t>
            </w:r>
          </w:p>
          <w:p w14:paraId="1AF61CE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Lymphocytes</w:t>
            </w:r>
          </w:p>
          <w:p w14:paraId="6EC0BF9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Plasma cells</w:t>
            </w:r>
          </w:p>
          <w:p w14:paraId="7382B14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Lymphohistiocytes</w:t>
            </w:r>
          </w:p>
          <w:p w14:paraId="77D7342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Neutrophils</w:t>
            </w:r>
          </w:p>
          <w:p w14:paraId="15F97E4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Fibrosis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F6E8B9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6EECF35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1341581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 (33%)</w:t>
            </w:r>
          </w:p>
          <w:p w14:paraId="4CDDE07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76FA360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77F8DA0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20D227A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946E53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6FD347E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1779CD6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 (33%)</w:t>
            </w:r>
          </w:p>
          <w:p w14:paraId="36CA68C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0E21504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2F11E5C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5CA7B96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981CA7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7341FE3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45C277E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&gt;0.9</w:t>
            </w:r>
          </w:p>
          <w:p w14:paraId="507E660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&gt;0.9</w:t>
            </w:r>
          </w:p>
          <w:p w14:paraId="1C1D129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&gt;0.9</w:t>
            </w:r>
          </w:p>
          <w:p w14:paraId="225E912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&gt;0.9</w:t>
            </w:r>
          </w:p>
          <w:p w14:paraId="20F379C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&gt;0.9</w:t>
            </w:r>
          </w:p>
        </w:tc>
      </w:tr>
      <w:tr w:rsidR="00DA5F6E" w14:paraId="4B79E033" w14:textId="77777777">
        <w:trPr>
          <w:trHeight w:val="3060"/>
        </w:trPr>
        <w:tc>
          <w:tcPr>
            <w:tcW w:w="45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E4A6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Root sheath desquamation</w:t>
            </w:r>
          </w:p>
          <w:p w14:paraId="1D397F0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41CB041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With inflammation</w:t>
            </w:r>
          </w:p>
          <w:p w14:paraId="2467AF7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Without Inflammation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C2E69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2814BC1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3E81AA8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0F770E6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 (110%)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F47D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79243AE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7DF49F6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 (110%)</w:t>
            </w:r>
          </w:p>
          <w:p w14:paraId="2C9463C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05 (280%)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47AA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33A2E6D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0B7F5F9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&gt;0.9</w:t>
            </w:r>
          </w:p>
          <w:p w14:paraId="3083CDC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</w:t>
            </w: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0.045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9</w:t>
            </w:r>
          </w:p>
        </w:tc>
      </w:tr>
      <w:tr w:rsidR="00DA5F6E" w14:paraId="2050DB8F" w14:textId="77777777">
        <w:trPr>
          <w:trHeight w:val="750"/>
        </w:trPr>
        <w:tc>
          <w:tcPr>
            <w:tcW w:w="45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D9AD20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Complete absence of sebaceous glands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777432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 (11%)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5584AB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 (17%)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73751F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&gt;0.9</w:t>
            </w:r>
          </w:p>
        </w:tc>
      </w:tr>
      <w:tr w:rsidR="00DA5F6E" w14:paraId="108E98F1" w14:textId="77777777">
        <w:trPr>
          <w:trHeight w:val="3030"/>
        </w:trPr>
        <w:tc>
          <w:tcPr>
            <w:tcW w:w="45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903BA9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Epithelial changes</w:t>
            </w:r>
          </w:p>
          <w:p w14:paraId="7F1B05A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4AB5CC9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   Squamatized basal layer</w:t>
            </w:r>
          </w:p>
          <w:p w14:paraId="3B76716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  Max Josef Spaces</w:t>
            </w:r>
          </w:p>
          <w:p w14:paraId="49E87CB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  Interfollicular changes, lichen planus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7064B1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477B381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5D23FE6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3 (17%)</w:t>
            </w:r>
          </w:p>
          <w:p w14:paraId="48E3C82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 (33%)</w:t>
            </w:r>
          </w:p>
          <w:p w14:paraId="6581667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3045B4B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D3261C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10DE5AA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3D486B3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4 (22%)</w:t>
            </w:r>
          </w:p>
          <w:p w14:paraId="1E471AA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 (39%)</w:t>
            </w:r>
          </w:p>
          <w:p w14:paraId="28D6D03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 (0%)</w:t>
            </w:r>
          </w:p>
          <w:p w14:paraId="53FF7DE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B8D637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4A2E1C6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6603A60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&gt;0.9</w:t>
            </w:r>
          </w:p>
          <w:p w14:paraId="35045C5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&gt;0.7</w:t>
            </w:r>
          </w:p>
          <w:p w14:paraId="03583A2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&gt;0.9</w:t>
            </w:r>
          </w:p>
          <w:p w14:paraId="6ABA850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</w:tr>
      <w:tr w:rsidR="00DA5F6E" w14:paraId="60657AEA" w14:textId="77777777">
        <w:trPr>
          <w:trHeight w:val="480"/>
        </w:trPr>
        <w:tc>
          <w:tcPr>
            <w:tcW w:w="45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98E13E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Vellus hair absence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A9DF07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 (72%)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81EC88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 (56%)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FFF4E2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</w:t>
            </w:r>
          </w:p>
        </w:tc>
      </w:tr>
      <w:tr w:rsidR="00DA5F6E" w14:paraId="74E0B606" w14:textId="77777777">
        <w:trPr>
          <w:trHeight w:val="750"/>
        </w:trPr>
        <w:tc>
          <w:tcPr>
            <w:tcW w:w="45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02959E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Anagen: Telogen-catagen Ratio - mean (SD)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D6B705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 (10)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DC105D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 (9)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109828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0.03</w:t>
            </w:r>
          </w:p>
        </w:tc>
      </w:tr>
      <w:tr w:rsidR="00DA5F6E" w14:paraId="0D78B556" w14:textId="77777777">
        <w:trPr>
          <w:trHeight w:val="990"/>
        </w:trPr>
        <w:tc>
          <w:tcPr>
            <w:tcW w:w="45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BB40D9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Number of vellus hairs Mean (SD)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57A858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0.9 (2.4)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860F82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0.7 (1.1)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B1E1E2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</w:t>
            </w:r>
          </w:p>
        </w:tc>
      </w:tr>
      <w:tr w:rsidR="00DA5F6E" w14:paraId="5B7DAC6B" w14:textId="77777777">
        <w:trPr>
          <w:trHeight w:val="990"/>
        </w:trPr>
        <w:tc>
          <w:tcPr>
            <w:tcW w:w="45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AD169E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***Terminal hair: Vellus hair Ratio (SD)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ED9801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6.3 (3.4)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913C7D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10.5 (8.0)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6E6B36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0.051</w:t>
            </w:r>
          </w:p>
        </w:tc>
      </w:tr>
    </w:tbl>
    <w:p w14:paraId="7F4C6693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highlight w:val="white"/>
        </w:rPr>
      </w:pPr>
    </w:p>
    <w:p w14:paraId="31081036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NOTES: Infundibulum/isthmus defined as the upper follicle from the ostium to the arrector pili insertion. Bulbar region defined as the lower follicle including the suprabulbar segment and hair bulb</w:t>
      </w:r>
    </w:p>
    <w:p w14:paraId="1D62B65F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>*Mean (SD); n (%)</w:t>
      </w:r>
    </w:p>
    <w:p w14:paraId="6EFB0A50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>** P values for continuous variables were calculated using the Wilcoxon rank-sum test; p values for categorical variables were obtained using Pearson’s chi-square test. Raw p-values were adjusted for type I error using the step-up Hochberg procedure for expected low frequencies.</w:t>
      </w:r>
    </w:p>
    <w:p w14:paraId="2FC79AEC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***Prespecified continuity‑corrected ratio (T+1)/(V+1)(T+1)/(V+1)(T+1)/(V+1) was used as the primary morphometric descriptor to accommodate zero‑vellus biopsies and standardize comparisons across zones</w:t>
      </w:r>
    </w:p>
    <w:p w14:paraId="178F0CF4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>AGA: Androgenetic alopecia, cNAS: Non-alopecic scalp, PIILIF: Perifollicular Infundibulo-isthmic lymphocytic infiltrates and fibrosis,</w:t>
      </w:r>
    </w:p>
    <w:p w14:paraId="65F0AF7A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5D88B60F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60BD3603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55CE05C1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5BBF8FD5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5EFDCC99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499EEAD7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70A40B1A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604ACBD8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307B10C9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7C3FB766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5F5F5"/>
        </w:rPr>
        <w:t>Supplemental Table S2</w:t>
      </w:r>
      <w:r>
        <w:rPr>
          <w:rFonts w:ascii="Times New Roman" w:eastAsia="Times New Roman" w:hAnsi="Times New Roman" w:cs="Times New Roman"/>
          <w:shd w:val="clear" w:color="auto" w:fill="F5F5F5"/>
        </w:rPr>
        <w:t>:Histological analysis comparing cNAS to Bald Zones in patients with concomitant biopsies of the cNAS and Bald zones who showed AGA-Only</w:t>
      </w:r>
    </w:p>
    <w:p w14:paraId="336BAFBA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> </w:t>
      </w:r>
    </w:p>
    <w:tbl>
      <w:tblPr>
        <w:tblStyle w:val="a0"/>
        <w:tblW w:w="10830" w:type="dxa"/>
        <w:tblInd w:w="-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5"/>
        <w:gridCol w:w="1800"/>
        <w:gridCol w:w="1515"/>
        <w:gridCol w:w="1545"/>
        <w:gridCol w:w="870"/>
        <w:gridCol w:w="885"/>
      </w:tblGrid>
      <w:tr w:rsidR="00DA5F6E" w14:paraId="005C73E4" w14:textId="77777777">
        <w:trPr>
          <w:trHeight w:val="253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14D2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9E88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1.*AGA in NAS with matched Bald Area Biopsy</w:t>
            </w:r>
          </w:p>
          <w:p w14:paraId="499A333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N=3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ABE3C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2.*Bald Area Biopsy of #1 Patients</w:t>
            </w:r>
          </w:p>
          <w:p w14:paraId="4C4D38F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N=3</w:t>
            </w:r>
          </w:p>
          <w:p w14:paraId="498FD52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F1A04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3. *cNAS of all AGA-ONLY biopsies</w:t>
            </w:r>
          </w:p>
          <w:p w14:paraId="299D719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N = 23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CA75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**P Value of #1 vs #2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CB8D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**P Value of #1 vs #3</w:t>
            </w:r>
          </w:p>
        </w:tc>
      </w:tr>
      <w:tr w:rsidR="00DA5F6E" w14:paraId="07F258B0" w14:textId="77777777">
        <w:trPr>
          <w:trHeight w:val="334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6AC7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Perifollicular changes  </w:t>
            </w:r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5F5F5"/>
              </w:rPr>
              <w:t>infundibulo-Isthmal</w:t>
            </w:r>
          </w:p>
          <w:p w14:paraId="47A4669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Lymphocytes</w:t>
            </w:r>
          </w:p>
          <w:p w14:paraId="0900B10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Plasma cells</w:t>
            </w:r>
          </w:p>
          <w:p w14:paraId="7A9360C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Lymphohistiocytes</w:t>
            </w:r>
          </w:p>
          <w:p w14:paraId="02F3D3D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Neutrophils</w:t>
            </w:r>
          </w:p>
          <w:p w14:paraId="5F11843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Fibrosis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0B026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 </w:t>
            </w:r>
          </w:p>
          <w:p w14:paraId="4768565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08C59D3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202D8E7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0EBE4CC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 (33%)</w:t>
            </w:r>
          </w:p>
          <w:p w14:paraId="359381C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E7485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 </w:t>
            </w:r>
          </w:p>
          <w:p w14:paraId="21CF64F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2C61EBB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439BBE7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48E6BAE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569D7B1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9457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 </w:t>
            </w:r>
          </w:p>
          <w:p w14:paraId="173B44C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 (4.3%)</w:t>
            </w:r>
          </w:p>
          <w:p w14:paraId="57C9FF5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7B54F11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04B2B6D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571CE65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E679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 </w:t>
            </w:r>
          </w:p>
          <w:p w14:paraId="4598AB4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0CEE943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37B8ACE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42CE69E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03C23F3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F77C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 </w:t>
            </w:r>
          </w:p>
          <w:p w14:paraId="5CA29E2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659A12F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62D73F1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769B29C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399E460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0FF331C9" w14:textId="77777777">
        <w:trPr>
          <w:trHeight w:val="310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103F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Perifollicular changes, </w:t>
            </w:r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5F5F5"/>
              </w:rPr>
              <w:t>bulbar</w:t>
            </w:r>
          </w:p>
          <w:p w14:paraId="14431FF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Lymphocytes</w:t>
            </w:r>
          </w:p>
          <w:p w14:paraId="6E2ED1F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Plasma cells</w:t>
            </w:r>
          </w:p>
          <w:p w14:paraId="153B207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Lymphohistiocytes</w:t>
            </w:r>
          </w:p>
          <w:p w14:paraId="185966C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Neutrophils</w:t>
            </w:r>
          </w:p>
          <w:p w14:paraId="38C78E58" w14:textId="77777777" w:rsidR="00DA5F6E" w:rsidRDefault="00DA5F6E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ACA17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2BBAD70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39D7F2F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2C91F71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76C191C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3AB9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56DA56D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114306C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53678D0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469A411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04A1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39E6AD9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619F63C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3AC2EFC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637496A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C37E5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08D1F5D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79D1221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6715457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3616A4C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CF34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74CE14C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2101022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3EBC211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524DDBB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76202CC4" w14:textId="77777777">
        <w:trPr>
          <w:trHeight w:val="310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99CD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Root sheath desquamation</w:t>
            </w:r>
          </w:p>
          <w:p w14:paraId="7494015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With inflammation</w:t>
            </w:r>
          </w:p>
          <w:p w14:paraId="6D04107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Without Inflammation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979E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 </w:t>
            </w:r>
          </w:p>
          <w:p w14:paraId="30C7764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6F1255D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317B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 </w:t>
            </w:r>
          </w:p>
          <w:p w14:paraId="33613A1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33FD8AA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DC2E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 </w:t>
            </w:r>
          </w:p>
          <w:p w14:paraId="2AEBBAC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 0 (0%)</w:t>
            </w:r>
          </w:p>
          <w:p w14:paraId="3069B62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8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E60D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 </w:t>
            </w:r>
          </w:p>
          <w:p w14:paraId="2556146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7259E71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  <w:tc>
          <w:tcPr>
            <w:tcW w:w="8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3739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 </w:t>
            </w:r>
          </w:p>
          <w:p w14:paraId="657622A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001D10F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484B4367" w14:textId="77777777">
        <w:trPr>
          <w:trHeight w:val="55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24A0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Complete absence of sebaceous glands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EA2E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CE9E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276A7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0 (0%)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D103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3901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58CF8637" w14:textId="77777777">
        <w:trPr>
          <w:trHeight w:val="334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5B51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Outside follicular zones/ interfollicular area</w:t>
            </w:r>
          </w:p>
          <w:p w14:paraId="7AE0F1B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Lymphocytes</w:t>
            </w:r>
          </w:p>
          <w:p w14:paraId="22A5184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Plasma cells</w:t>
            </w:r>
          </w:p>
          <w:p w14:paraId="32A2055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Lymphohistiocytes</w:t>
            </w:r>
          </w:p>
          <w:p w14:paraId="0CB3730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Neutrophils</w:t>
            </w:r>
          </w:p>
          <w:p w14:paraId="5B50DBF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449D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 </w:t>
            </w:r>
          </w:p>
          <w:p w14:paraId="4D6150D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29660CA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4AFF913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4973008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876E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 </w:t>
            </w:r>
          </w:p>
          <w:p w14:paraId="0025CA9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44DAD54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1A35FD3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2440BE3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F030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 </w:t>
            </w:r>
          </w:p>
          <w:p w14:paraId="3AB3E75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22BF504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20783CF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3FC7A2E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1433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 </w:t>
            </w:r>
          </w:p>
          <w:p w14:paraId="593CAA3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075BB96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64E49D0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3169E67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C69C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 </w:t>
            </w:r>
          </w:p>
          <w:p w14:paraId="4532063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2B25B53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60A6BAA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77537C2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2062FBC7" w14:textId="77777777">
        <w:trPr>
          <w:trHeight w:val="79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5CCAE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Granulomatous Changes</w:t>
            </w:r>
          </w:p>
          <w:p w14:paraId="7EE1522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A095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4769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5621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17FF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6547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74E03B93" w14:textId="77777777">
        <w:trPr>
          <w:trHeight w:val="79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1B62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Released Follicles</w:t>
            </w:r>
          </w:p>
          <w:p w14:paraId="0F95E8D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2938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B2773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3B6D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AD12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6A26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34492F81" w14:textId="77777777">
        <w:trPr>
          <w:trHeight w:val="259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A7C9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Epithelial changes</w:t>
            </w:r>
          </w:p>
          <w:p w14:paraId="7F6ADFB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421512B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  Squamatized basal layer</w:t>
            </w:r>
          </w:p>
          <w:p w14:paraId="3D7B1EE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  Max Josef Spaces</w:t>
            </w:r>
          </w:p>
          <w:p w14:paraId="375CDDB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Interfollicular changes, lichen planus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22A2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4E087D0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36B235D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6DC931E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5A8D5EB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751A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0884058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4BD3E25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1A9EA0C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528A101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970AA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5E7FB40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64296B5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2407044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3C3BE95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293E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039FF53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2A8EBD4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40FF5FF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20129D5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BEFE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01A0033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72A8C7B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5003D80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3E82A03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2530F78F" w14:textId="77777777">
        <w:trPr>
          <w:trHeight w:val="28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B0335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5F5F5"/>
              </w:rPr>
              <w:t>Vellus / Miniaturized hair absence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D80E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1(33%)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369C5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8BCE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8 (36%)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4ABB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D2AD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0.5</w:t>
            </w:r>
          </w:p>
        </w:tc>
      </w:tr>
      <w:tr w:rsidR="00DA5F6E" w14:paraId="5463E012" w14:textId="77777777">
        <w:trPr>
          <w:trHeight w:val="55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5FC0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5F5F5"/>
              </w:rPr>
              <w:t xml:space="preserve">Anagen: Telogen-catagen Ratio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31CB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11.3 (12.0)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0A55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1.4 (0.4)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2E74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3.7 (6.7)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0246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15C7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1140856A" w14:textId="77777777">
        <w:trPr>
          <w:trHeight w:val="79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7F2E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5F5F5"/>
              </w:rPr>
              <w:t>Number of vellus hairs</w:t>
            </w:r>
          </w:p>
          <w:p w14:paraId="5E4E2BA8" w14:textId="77777777" w:rsidR="00DA5F6E" w:rsidRDefault="00DA5F6E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DBE8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1.00 (1.00)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B2E32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1.33 (0.58)</w:t>
            </w:r>
          </w:p>
          <w:p w14:paraId="47C0821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AA39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1.30 (1.40)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384E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EFEC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6D651782" w14:textId="77777777">
        <w:trPr>
          <w:trHeight w:val="285"/>
        </w:trPr>
        <w:tc>
          <w:tcPr>
            <w:tcW w:w="4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34AEFAC" w14:textId="77777777" w:rsidR="00DA5F6E" w:rsidRDefault="00DA5F6E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i/>
                <w:iCs/>
                <w:highlight w:val="cyan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CD99438" w14:textId="77777777" w:rsidR="00DA5F6E" w:rsidRDefault="00DA5F6E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cyan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217F033" w14:textId="77777777" w:rsidR="00DA5F6E" w:rsidRDefault="00DA5F6E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cyan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B66B5C9" w14:textId="77777777" w:rsidR="00DA5F6E" w:rsidRDefault="00DA5F6E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highlight w:val="cyan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8B10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BCDD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</w:tr>
    </w:tbl>
    <w:p w14:paraId="5A43C50B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 xml:space="preserve"> Notes; </w:t>
      </w:r>
      <w:r>
        <w:t>Infundibulum/isthmus defined as the upper follicle from the ostium to the arrector pili insertion. Bulbar region defined as the lower follicle including the suprabulbar segment and hair bulb</w:t>
      </w:r>
      <w:r>
        <w:rPr>
          <w:rFonts w:ascii="Times New Roman" w:eastAsia="Times New Roman" w:hAnsi="Times New Roman" w:cs="Times New Roman"/>
          <w:shd w:val="clear" w:color="auto" w:fill="F5F5F5"/>
        </w:rPr>
        <w:t xml:space="preserve">;      </w:t>
      </w:r>
    </w:p>
    <w:tbl>
      <w:tblPr>
        <w:tblStyle w:val="a1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w:rsidR="00DA5F6E" w14:paraId="7CAC0879" w14:textId="77777777">
        <w:trPr>
          <w:trHeight w:val="53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B29B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t>*n (%); Mean (SD)</w:t>
            </w:r>
          </w:p>
        </w:tc>
      </w:tr>
      <w:tr w:rsidR="00DA5F6E" w14:paraId="734B82E9" w14:textId="77777777">
        <w:trPr>
          <w:trHeight w:val="53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E16B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t>** P values for continuous variables were calculated using the Wilcoxon rank-sum test; p values for categorical variables were obtained using Pearson’s chi-square test.. Raw p-values were adjusted for type I error using the step-up Hochberg procedure for expected low frequencies.</w:t>
            </w:r>
          </w:p>
        </w:tc>
      </w:tr>
    </w:tbl>
    <w:p w14:paraId="32EA29A5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>AGA: Androgenetic alopecia, cNAS: Clinically Normal appearing scalp, PIILIF: Perifollicular Infundibulo-isthmic lymphocytic infiltrates and fibrosis,</w:t>
      </w:r>
    </w:p>
    <w:p w14:paraId="5C4C624D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bookmarkStart w:id="0" w:name="_heading=h.2et92p0" w:colFirst="0" w:colLast="0"/>
      <w:bookmarkEnd w:id="0"/>
    </w:p>
    <w:p w14:paraId="7964091F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0DBEF2B6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7171DAC0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37E1DF27" w14:textId="28BCE0EC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br/>
      </w:r>
      <w:r>
        <w:rPr>
          <w:rFonts w:ascii="Times New Roman" w:eastAsia="Times New Roman" w:hAnsi="Times New Roman" w:cs="Times New Roman"/>
          <w:shd w:val="clear" w:color="auto" w:fill="F5F5F5"/>
        </w:rPr>
        <w:br/>
      </w:r>
      <w:r>
        <w:rPr>
          <w:rFonts w:ascii="Times New Roman" w:eastAsia="Times New Roman" w:hAnsi="Times New Roman" w:cs="Times New Roman"/>
          <w:b/>
          <w:bCs/>
          <w:shd w:val="clear" w:color="auto" w:fill="F5F5F5"/>
        </w:rPr>
        <w:t>Supplemental Table S3.</w:t>
      </w:r>
      <w:r>
        <w:rPr>
          <w:rFonts w:ascii="Times New Roman" w:eastAsia="Times New Roman" w:hAnsi="Times New Roman" w:cs="Times New Roman"/>
          <w:shd w:val="clear" w:color="auto" w:fill="F5F5F5"/>
        </w:rPr>
        <w:t xml:space="preserve"> Comparison of PIILIF in the normal-appearing scalp (NAS) of patients with androgenetic alopecia (AGA) in the current study cohort versus PIILIF in the NAS of patients with acne keloidalis nuchae (AKN) from a previously published cohort. AKN cohort data were adapted from: Umar S, Ton D, Carter MJ, Shitabata P. Unveiling a shared precursor condition for acne keloidalis nuchae and primary cicatricial alopecias. Clin Cosmet Investig Dermatol. 2023;16:2315–2327. https://doi.org/10.2147/CC</w:t>
      </w:r>
      <w:r>
        <w:rPr>
          <w:rFonts w:ascii="Times New Roman" w:eastAsia="Times New Roman" w:hAnsi="Times New Roman" w:cs="Times New Roman"/>
          <w:shd w:val="clear" w:color="auto" w:fill="F5F5F5"/>
        </w:rPr>
        <w:t>ID.S424135. Licensed under CC BY-NC (Creative Commons Attribution–NonCommercial 4.0 International License).</w:t>
      </w:r>
      <w:r w:rsidRPr="00814D5F">
        <w:rPr>
          <w:rFonts w:ascii="Times New Roman" w:eastAsia="Times New Roman" w:hAnsi="Times New Roman" w:cs="Times New Roman"/>
          <w:shd w:val="clear" w:color="auto" w:fill="F5F5F5"/>
          <w:vertAlign w:val="superscript"/>
        </w:rPr>
        <w:t>16</w:t>
      </w:r>
    </w:p>
    <w:p w14:paraId="6F3AA81E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tbl>
      <w:tblPr>
        <w:tblStyle w:val="a2"/>
        <w:tblW w:w="9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5"/>
        <w:gridCol w:w="2070"/>
        <w:gridCol w:w="2250"/>
        <w:gridCol w:w="1170"/>
      </w:tblGrid>
      <w:tr w:rsidR="00DA5F6E" w14:paraId="22A59404" w14:textId="77777777">
        <w:trPr>
          <w:trHeight w:val="160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075A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E006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*PIILIF in cNAS of AGA STUDY cohort</w:t>
            </w:r>
          </w:p>
          <w:p w14:paraId="7122318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N = 100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203A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*PIILIF in NAS of AKN STUDY cohort </w:t>
            </w:r>
          </w:p>
          <w:p w14:paraId="5EE2C35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N = 23</w:t>
            </w:r>
          </w:p>
          <w:p w14:paraId="3C6D61E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1F80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**P</w:t>
            </w:r>
          </w:p>
        </w:tc>
      </w:tr>
      <w:tr w:rsidR="00DA5F6E" w14:paraId="42AADC51" w14:textId="77777777">
        <w:trPr>
          <w:trHeight w:val="310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C250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Perifollicular changes  </w:t>
            </w:r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5F5F5"/>
              </w:rPr>
              <w:t>infundibulo-Isthmal</w:t>
            </w:r>
          </w:p>
          <w:p w14:paraId="4994A97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Lymphocytes</w:t>
            </w:r>
          </w:p>
          <w:p w14:paraId="6736687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Plasma cells</w:t>
            </w:r>
          </w:p>
          <w:p w14:paraId="2D51769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Lymphohistiocytes</w:t>
            </w:r>
          </w:p>
          <w:p w14:paraId="293F59E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Neutrophils</w:t>
            </w:r>
          </w:p>
          <w:p w14:paraId="7E68744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Fibrosis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4138E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49300A6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92 (92%)</w:t>
            </w:r>
          </w:p>
          <w:p w14:paraId="530BABC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20(20%)</w:t>
            </w:r>
          </w:p>
          <w:p w14:paraId="01CA623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4C25A44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5B1D082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99 (99%)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E730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222053A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22 (92%)</w:t>
            </w:r>
          </w:p>
          <w:p w14:paraId="4D35DB4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12 (50%)</w:t>
            </w:r>
          </w:p>
          <w:p w14:paraId="262AE43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5681607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3C5E198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23 (100)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5622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46922D8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70EA88C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0.003</w:t>
            </w:r>
          </w:p>
          <w:p w14:paraId="708F6BE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492B5CC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1F9217E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6E724DD5" w14:textId="77777777">
        <w:trPr>
          <w:trHeight w:val="283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2F78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Perifollicular changes, </w:t>
            </w:r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5F5F5"/>
              </w:rPr>
              <w:t>bulbar</w:t>
            </w:r>
          </w:p>
          <w:p w14:paraId="4B6DCEC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Lymphocytes</w:t>
            </w:r>
          </w:p>
          <w:p w14:paraId="4EA37E7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Plasma cells                                  </w:t>
            </w: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ab/>
            </w:r>
          </w:p>
          <w:p w14:paraId="7138707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Lymphohistiocytes</w:t>
            </w:r>
          </w:p>
          <w:p w14:paraId="1D3EF35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Neutrophils</w:t>
            </w:r>
          </w:p>
          <w:p w14:paraId="13098142" w14:textId="77777777" w:rsidR="00DA5F6E" w:rsidRDefault="00DA5F6E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08D1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06220D4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20 (20%)</w:t>
            </w:r>
          </w:p>
          <w:p w14:paraId="6363B60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5 (5.0%)</w:t>
            </w:r>
          </w:p>
          <w:p w14:paraId="034C147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18B93FB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15CD40D3" w14:textId="77777777" w:rsidR="00DA5F6E" w:rsidRDefault="00DA5F6E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C88C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73577DD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7E82F18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007894D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(%)</w:t>
            </w:r>
          </w:p>
          <w:p w14:paraId="2CF3035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01D46838" w14:textId="77777777" w:rsidR="00DA5F6E" w:rsidRDefault="00DA5F6E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EE72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6CE5905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0.013</w:t>
            </w:r>
          </w:p>
          <w:p w14:paraId="3DDFBE1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0.6</w:t>
            </w:r>
          </w:p>
          <w:p w14:paraId="4B8B3EE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37F934F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0.2</w:t>
            </w:r>
          </w:p>
        </w:tc>
      </w:tr>
      <w:tr w:rsidR="00DA5F6E" w14:paraId="4C3FE61E" w14:textId="77777777">
        <w:trPr>
          <w:trHeight w:val="283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0DD9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Root sheath desquamation</w:t>
            </w:r>
          </w:p>
          <w:p w14:paraId="31E2A5F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With inflammation</w:t>
            </w:r>
          </w:p>
          <w:p w14:paraId="5F064EC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Without Inflammation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8CB7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 </w:t>
            </w:r>
          </w:p>
          <w:p w14:paraId="3C71426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25 (25%)</w:t>
            </w:r>
          </w:p>
          <w:p w14:paraId="600E5F6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38 (38%)</w:t>
            </w:r>
          </w:p>
        </w:tc>
        <w:tc>
          <w:tcPr>
            <w:tcW w:w="2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E223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 </w:t>
            </w:r>
          </w:p>
          <w:p w14:paraId="7624971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13 (57%)</w:t>
            </w:r>
          </w:p>
          <w:p w14:paraId="74C51CC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5 (22%)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DECD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 </w:t>
            </w:r>
          </w:p>
          <w:p w14:paraId="6AA2BE6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0.003</w:t>
            </w:r>
          </w:p>
          <w:p w14:paraId="006F634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0.14</w:t>
            </w:r>
          </w:p>
        </w:tc>
      </w:tr>
      <w:tr w:rsidR="00DA5F6E" w14:paraId="43A1BDF4" w14:textId="77777777">
        <w:trPr>
          <w:trHeight w:val="55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BF28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Complete absence of sebaceous glands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3097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8 (8.2%)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FFD5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10 (45%)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5DE6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&lt;0.001</w:t>
            </w:r>
          </w:p>
        </w:tc>
      </w:tr>
      <w:tr w:rsidR="00DA5F6E" w14:paraId="710501A7" w14:textId="77777777">
        <w:trPr>
          <w:trHeight w:val="310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11DB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Outside follicular zones/ interfollicular area</w:t>
            </w:r>
          </w:p>
          <w:p w14:paraId="58DEF5A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Lymphocytes</w:t>
            </w:r>
          </w:p>
          <w:p w14:paraId="7C82527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Plasma cells</w:t>
            </w:r>
          </w:p>
          <w:p w14:paraId="2EA2A0C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Lymphohistiocytes</w:t>
            </w:r>
          </w:p>
          <w:p w14:paraId="2FFEF4B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Neutrophils</w:t>
            </w:r>
          </w:p>
          <w:p w14:paraId="62FFFFE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 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A1E5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2939962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20 (20%)</w:t>
            </w:r>
          </w:p>
          <w:p w14:paraId="21429E7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4 (4.0%)</w:t>
            </w:r>
          </w:p>
          <w:p w14:paraId="13C58FC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 (1.0%)</w:t>
            </w:r>
          </w:p>
          <w:p w14:paraId="1D296B4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59058684" w14:textId="77777777" w:rsidR="00DA5F6E" w:rsidRDefault="00DA5F6E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65C3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430D1AF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 (4.3%)</w:t>
            </w:r>
          </w:p>
          <w:p w14:paraId="68CFBC1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 (4.3%)</w:t>
            </w:r>
          </w:p>
          <w:p w14:paraId="0470643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66C1C7A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33164A69" w14:textId="77777777" w:rsidR="00DA5F6E" w:rsidRDefault="00DA5F6E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15CB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75BE7F4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0.12</w:t>
            </w:r>
          </w:p>
          <w:p w14:paraId="28263DA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5E19298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065B20C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424AFE09" w14:textId="77777777">
        <w:trPr>
          <w:trHeight w:val="79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D469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Granulomatous Changes</w:t>
            </w:r>
          </w:p>
          <w:p w14:paraId="4629464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8DEB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4E7A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89F7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588AEC87" w14:textId="77777777">
        <w:trPr>
          <w:trHeight w:val="79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07CA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Released Follicles</w:t>
            </w:r>
          </w:p>
          <w:p w14:paraId="77BA12C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EC0B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E432A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 (4.3%)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8FCE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0.2</w:t>
            </w:r>
          </w:p>
        </w:tc>
      </w:tr>
      <w:tr w:rsidR="00DA5F6E" w14:paraId="7E9132E5" w14:textId="77777777">
        <w:trPr>
          <w:trHeight w:val="181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0E33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Epithelial changes</w:t>
            </w:r>
          </w:p>
          <w:p w14:paraId="0B3A801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Squamatized basal layer</w:t>
            </w:r>
          </w:p>
          <w:p w14:paraId="5E50BF8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Max Josef Spaces</w:t>
            </w:r>
          </w:p>
          <w:p w14:paraId="5AD0A1B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Interfollicular changes, lichen planus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7E29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451D564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26 (27%)</w:t>
            </w:r>
          </w:p>
          <w:p w14:paraId="1184F42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31 (32%)</w:t>
            </w:r>
          </w:p>
          <w:p w14:paraId="34978C1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 (0%)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6BF0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133B338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16 (73%)</w:t>
            </w:r>
          </w:p>
          <w:p w14:paraId="6133AC0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17 (77%)</w:t>
            </w:r>
          </w:p>
          <w:p w14:paraId="165BBCC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4BF4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2C0BFDF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&lt;0.001</w:t>
            </w:r>
          </w:p>
          <w:p w14:paraId="631A8C0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&lt;0.001</w:t>
            </w:r>
          </w:p>
          <w:p w14:paraId="0C7BA5B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6DE348B7" w14:textId="77777777">
        <w:trPr>
          <w:trHeight w:val="109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5A7E1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5F5F5"/>
              </w:rPr>
              <w:t>Vellus/Miniaturized hair presence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A41EC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43 (42%)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DC41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1(4.3%)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993DC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&lt;0.001</w:t>
            </w:r>
          </w:p>
        </w:tc>
      </w:tr>
      <w:tr w:rsidR="00DA5F6E" w14:paraId="6C5376CF" w14:textId="77777777">
        <w:trPr>
          <w:trHeight w:val="55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97D6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5F5F5"/>
              </w:rPr>
              <w:t>Anagen: Telogen-catagen Ratio - mean (SD)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BD77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4.1 (5.7)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5D94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4.8 (6.4)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D6BF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</w:tc>
      </w:tr>
      <w:tr w:rsidR="00DA5F6E" w14:paraId="033B1A14" w14:textId="77777777">
        <w:trPr>
          <w:trHeight w:val="1365"/>
        </w:trPr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1D71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5F5F5"/>
              </w:rPr>
              <w:t>Number of vellus hairs</w:t>
            </w:r>
          </w:p>
          <w:p w14:paraId="36A64D6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5F5F5"/>
              </w:rPr>
              <w:t>Mean (SD)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32D8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0.90 (1.37) Patients are all bald with miniaturization of AGA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72D4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0.19 (0.60)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FBE7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0.022</w:t>
            </w:r>
          </w:p>
        </w:tc>
      </w:tr>
    </w:tbl>
    <w:p w14:paraId="0D6416E2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 xml:space="preserve"> Notes; </w:t>
      </w:r>
      <w:r>
        <w:t>Infundibulum/isthmus defined as the upper follicle from the ostium to the arrector pili insertion. Bulbar region defined as the lower follicle including the suprabulbar segment and hair bulb</w:t>
      </w:r>
      <w:r>
        <w:br/>
      </w:r>
    </w:p>
    <w:p w14:paraId="53CE969F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37753D49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 xml:space="preserve">*n (%); Mean (SD)                                     </w:t>
      </w:r>
      <w:r>
        <w:rPr>
          <w:rFonts w:ascii="Times New Roman" w:eastAsia="Times New Roman" w:hAnsi="Times New Roman" w:cs="Times New Roman"/>
          <w:shd w:val="clear" w:color="auto" w:fill="F5F5F5"/>
        </w:rPr>
        <w:tab/>
      </w:r>
    </w:p>
    <w:p w14:paraId="27BCE619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>** P values for continuous variables were calculated using the Wilcoxon rank-sum test; p values for categorical variables were obtained using Pearson’s chi-square test.. Raw p-values were adjusted for type I error using the step-up Hochberg procedure for expected low frequencies.</w:t>
      </w:r>
    </w:p>
    <w:p w14:paraId="14D418FD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>AGA: Androgenetic alopecia, cNAS: Clinically Normal appearing scalp, PIILIF: Perifollicular Infundibulo-isthmic lymphocytic infiltrates and fibrosis, AKN: Acne keloidalis nuchae</w:t>
      </w:r>
    </w:p>
    <w:p w14:paraId="27CF5576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580E6882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3BCC187F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1FD48EBD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3874B0E4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6FB2F890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3FF68F11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5F5F5"/>
        </w:rPr>
        <w:t>Supplemental Table S4:</w:t>
      </w:r>
      <w:r>
        <w:rPr>
          <w:rFonts w:ascii="Times New Roman" w:eastAsia="Times New Roman" w:hAnsi="Times New Roman" w:cs="Times New Roman"/>
          <w:shd w:val="clear" w:color="auto" w:fill="F5F5F5"/>
        </w:rPr>
        <w:t xml:space="preserve"> Comparison between AGA and PIILIF using the Immunohistochemistry data set of 17 patients</w:t>
      </w:r>
    </w:p>
    <w:p w14:paraId="70DB6899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tbl>
      <w:tblPr>
        <w:tblStyle w:val="a3"/>
        <w:tblW w:w="8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0"/>
        <w:gridCol w:w="945"/>
        <w:gridCol w:w="2325"/>
        <w:gridCol w:w="1980"/>
        <w:gridCol w:w="1410"/>
      </w:tblGrid>
      <w:tr w:rsidR="00DA5F6E" w14:paraId="43509C48" w14:textId="77777777">
        <w:trPr>
          <w:trHeight w:val="795"/>
        </w:trPr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8A53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Variable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F76E6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N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4029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**PIILIF in Bald Zone, N = 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467A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**PIILIF in NAS, N = 12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90A6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***p-value</w:t>
            </w:r>
          </w:p>
        </w:tc>
      </w:tr>
      <w:tr w:rsidR="00DA5F6E" w14:paraId="51392333" w14:textId="77777777">
        <w:trPr>
          <w:trHeight w:val="1379"/>
        </w:trPr>
        <w:tc>
          <w:tcPr>
            <w:tcW w:w="20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85CF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*CD4</w:t>
            </w:r>
          </w:p>
          <w:p w14:paraId="386304F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2</w:t>
            </w:r>
          </w:p>
          <w:p w14:paraId="49C12E2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3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1536A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17</w:t>
            </w:r>
          </w:p>
          <w:p w14:paraId="2FDEC1B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0FBA7EE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A2E2E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03E64A0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34B286D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5 (100%)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EB05E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364F5BA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1D7B21A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12 (100%)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7E32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6A62524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58FBDC2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</w:tr>
      <w:tr w:rsidR="00DA5F6E" w14:paraId="15E8ADF4" w14:textId="77777777">
        <w:trPr>
          <w:trHeight w:val="1379"/>
        </w:trPr>
        <w:tc>
          <w:tcPr>
            <w:tcW w:w="20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8385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*CD8</w:t>
            </w:r>
          </w:p>
          <w:p w14:paraId="0E6723A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1</w:t>
            </w:r>
          </w:p>
          <w:p w14:paraId="25CF654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Trace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E3E8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17</w:t>
            </w:r>
          </w:p>
          <w:p w14:paraId="4062593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1804D94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0A49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5287950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5 (100%)</w:t>
            </w:r>
          </w:p>
          <w:p w14:paraId="366D8C7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2269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047F50A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10 (83%)</w:t>
            </w:r>
          </w:p>
          <w:p w14:paraId="234558A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2 (17%)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5E30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7DC3EC9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6057732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</w:tr>
      <w:tr w:rsidR="00DA5F6E" w14:paraId="0D95924E" w14:textId="77777777">
        <w:trPr>
          <w:trHeight w:val="1844"/>
        </w:trPr>
        <w:tc>
          <w:tcPr>
            <w:tcW w:w="20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631E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*CD117</w:t>
            </w:r>
          </w:p>
          <w:p w14:paraId="5D9415B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1</w:t>
            </w:r>
          </w:p>
          <w:p w14:paraId="1513232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2</w:t>
            </w:r>
          </w:p>
          <w:p w14:paraId="1A38055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3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22F6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17</w:t>
            </w:r>
          </w:p>
          <w:p w14:paraId="0A5156D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6D7E2B0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1C45CE7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D745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4834ABF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 (20%)</w:t>
            </w:r>
          </w:p>
          <w:p w14:paraId="27B5AFF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002D82E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4 (80%)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2E93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23BB0B3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59AA832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8 (67%)</w:t>
            </w:r>
          </w:p>
          <w:p w14:paraId="7D76CCF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4 (33%)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19FA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0.2</w:t>
            </w:r>
          </w:p>
          <w:p w14:paraId="4076C2F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2722CD9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7D35A20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</w:tr>
      <w:tr w:rsidR="00DA5F6E" w14:paraId="3684DD8A" w14:textId="77777777">
        <w:trPr>
          <w:trHeight w:val="2299"/>
        </w:trPr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A70C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*Test</w:t>
            </w:r>
          </w:p>
          <w:p w14:paraId="1766911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Demodex</w:t>
            </w:r>
          </w:p>
          <w:p w14:paraId="54D7E0D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Pityrosporum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D868C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7</w:t>
            </w:r>
          </w:p>
          <w:p w14:paraId="21384C4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07D2D2E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1A79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7AB7CE4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78718C5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2 (100%)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223DA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37A2F06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 (20%)</w:t>
            </w:r>
          </w:p>
          <w:p w14:paraId="00EC772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4 (80%)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A3082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2B7D825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08FEEAD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</w:tr>
    </w:tbl>
    <w:p w14:paraId="2233D0A3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> </w:t>
      </w:r>
    </w:p>
    <w:p w14:paraId="38D7C2C0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 xml:space="preserve">*% of total lymphocytes: Trace = 0-25%; 1 = 25-50%; 2 = 50-75%; 3 = 75-100%        </w:t>
      </w:r>
    </w:p>
    <w:tbl>
      <w:tblPr>
        <w:tblStyle w:val="a4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w:rsidR="00DA5F6E" w14:paraId="4DF9A47F" w14:textId="77777777">
        <w:trPr>
          <w:trHeight w:val="53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708C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**n (%)</w:t>
            </w:r>
          </w:p>
        </w:tc>
      </w:tr>
      <w:tr w:rsidR="00DA5F6E" w14:paraId="148D8622" w14:textId="77777777">
        <w:trPr>
          <w:trHeight w:val="53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877E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  <w:vertAlign w:val="superscript"/>
              </w:rPr>
              <w:t>***</w:t>
            </w: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Fisher’s exact test; Pearson’s Chi-squared test; Wilcoxon rank sum test; Two Sample t-test, Raw p-values were adjusted for type I error using the step-up Hochberg procedure for expected low frequencies.</w:t>
            </w:r>
          </w:p>
        </w:tc>
      </w:tr>
    </w:tbl>
    <w:p w14:paraId="145F8153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> AGA: Androgenetic alopecia, cNAS: Clinically Normal appearing scalp, PIILIF: Perifollicular Infundibulo-isthmic lymphocytic infiltrates and fibrosis</w:t>
      </w:r>
    </w:p>
    <w:p w14:paraId="2EF0FEC2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6E6A1564" w14:textId="77777777" w:rsidR="00DA5F6E" w:rsidRDefault="00DA5F6E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</w:p>
    <w:p w14:paraId="76C39104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br/>
      </w:r>
      <w:r>
        <w:rPr>
          <w:rFonts w:ascii="Times New Roman" w:eastAsia="Times New Roman" w:hAnsi="Times New Roman" w:cs="Times New Roman"/>
          <w:shd w:val="clear" w:color="auto" w:fill="F5F5F5"/>
        </w:rPr>
        <w:br/>
      </w:r>
    </w:p>
    <w:p w14:paraId="479F31AD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b/>
          <w:bCs/>
          <w:shd w:val="clear" w:color="auto" w:fill="F5F5F5"/>
        </w:rPr>
        <w:t>Supplemental Table S5</w:t>
      </w:r>
      <w:r>
        <w:rPr>
          <w:rFonts w:ascii="Times New Roman" w:eastAsia="Times New Roman" w:hAnsi="Times New Roman" w:cs="Times New Roman"/>
          <w:shd w:val="clear" w:color="auto" w:fill="F5F5F5"/>
        </w:rPr>
        <w:t>: Comparison between PIILIF and AKN using the Immunohistochemistry data set of 15 patients</w:t>
      </w:r>
    </w:p>
    <w:tbl>
      <w:tblPr>
        <w:tblStyle w:val="a5"/>
        <w:tblW w:w="9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1095"/>
        <w:gridCol w:w="1905"/>
        <w:gridCol w:w="3480"/>
        <w:gridCol w:w="1305"/>
      </w:tblGrid>
      <w:tr w:rsidR="00DA5F6E" w14:paraId="7EBE6EDE" w14:textId="77777777">
        <w:trPr>
          <w:trHeight w:val="795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190F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 xml:space="preserve">Variable </w:t>
            </w:r>
          </w:p>
          <w:p w14:paraId="0B641D45" w14:textId="77777777" w:rsidR="00DA5F6E" w:rsidRDefault="00DA5F6E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38E0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N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B56B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**AKN Specimen, N = 3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B681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**PIILIF in cNAS of AGA, N = 12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5864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***p-value</w:t>
            </w:r>
          </w:p>
        </w:tc>
      </w:tr>
      <w:tr w:rsidR="00DA5F6E" w14:paraId="6343E8B5" w14:textId="77777777">
        <w:trPr>
          <w:trHeight w:val="1379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B0499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*CD4</w:t>
            </w:r>
          </w:p>
          <w:p w14:paraId="0804D56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2</w:t>
            </w:r>
          </w:p>
          <w:p w14:paraId="3C7B308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3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0069C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15</w:t>
            </w:r>
          </w:p>
          <w:p w14:paraId="73E7CC5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1E98056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3C60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16A1390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3 (100%)</w:t>
            </w:r>
          </w:p>
          <w:p w14:paraId="4214F79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B2AF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5F5CB1D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021EF94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12 (100%)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D8B1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0.009</w:t>
            </w:r>
          </w:p>
          <w:p w14:paraId="2EDD754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00E81A4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</w:tr>
      <w:tr w:rsidR="00DA5F6E" w14:paraId="7B7FC9D8" w14:textId="77777777">
        <w:trPr>
          <w:trHeight w:val="1379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3515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*CD8</w:t>
            </w:r>
          </w:p>
          <w:p w14:paraId="1493E633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1</w:t>
            </w:r>
          </w:p>
          <w:p w14:paraId="08F2EE7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Trace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B3576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15</w:t>
            </w:r>
          </w:p>
          <w:p w14:paraId="7D2D9E4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5A1EE88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B8D4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11F8083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3 (100%)</w:t>
            </w:r>
          </w:p>
          <w:p w14:paraId="736089A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8EFF0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5DD989B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10 (83%)</w:t>
            </w:r>
          </w:p>
          <w:p w14:paraId="7D857F8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2 (17%)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A71E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456F86C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62914E9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</w:tr>
      <w:tr w:rsidR="00DA5F6E" w14:paraId="71FE28DC" w14:textId="77777777">
        <w:trPr>
          <w:trHeight w:val="1844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F540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*CD117</w:t>
            </w:r>
          </w:p>
          <w:p w14:paraId="79F6CA5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1</w:t>
            </w:r>
          </w:p>
          <w:p w14:paraId="0BBD1798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2</w:t>
            </w:r>
          </w:p>
          <w:p w14:paraId="703EC74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3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0F82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15</w:t>
            </w:r>
          </w:p>
          <w:p w14:paraId="0FED54C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1EDA10E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2EC6AFF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8F52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4AC217B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2 (67%)</w:t>
            </w:r>
          </w:p>
          <w:p w14:paraId="13147796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 (33%)</w:t>
            </w:r>
          </w:p>
          <w:p w14:paraId="133C8080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1A5B2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7527F14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(0%)</w:t>
            </w:r>
          </w:p>
          <w:p w14:paraId="185F681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8 (67%)</w:t>
            </w:r>
          </w:p>
          <w:p w14:paraId="1F29F32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4 (33%)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6312F7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0.075</w:t>
            </w:r>
          </w:p>
          <w:p w14:paraId="1EDB4CBF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5E1C0C0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750593A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</w:tr>
      <w:tr w:rsidR="00DA5F6E" w14:paraId="14A2B7FC" w14:textId="77777777">
        <w:trPr>
          <w:trHeight w:val="1379"/>
        </w:trPr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726CF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*Test</w:t>
            </w:r>
          </w:p>
          <w:p w14:paraId="46CA3E7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Demodex</w:t>
            </w:r>
          </w:p>
          <w:p w14:paraId="57CBC1DC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   Pityrosporum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8F23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5</w:t>
            </w:r>
          </w:p>
          <w:p w14:paraId="23D0BA91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199201F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1A6BD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6A4663D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(NA%)</w:t>
            </w:r>
          </w:p>
          <w:p w14:paraId="2972393B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0 (NA%)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A5065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0CBB02DE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1 (20%)</w:t>
            </w:r>
          </w:p>
          <w:p w14:paraId="7D69BFC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4 (80%)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E6FC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&gt;0.9</w:t>
            </w:r>
          </w:p>
          <w:p w14:paraId="4242501A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  <w:p w14:paraId="0507BB22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 </w:t>
            </w:r>
          </w:p>
        </w:tc>
      </w:tr>
    </w:tbl>
    <w:p w14:paraId="4178ED9A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bookmarkStart w:id="1" w:name="_heading=h.3dy6vkm" w:colFirst="0" w:colLast="0"/>
      <w:bookmarkEnd w:id="1"/>
      <w:r>
        <w:rPr>
          <w:rFonts w:ascii="Times New Roman" w:eastAsia="Times New Roman" w:hAnsi="Times New Roman" w:cs="Times New Roman"/>
          <w:shd w:val="clear" w:color="auto" w:fill="F5F5F5"/>
        </w:rPr>
        <w:t> </w:t>
      </w:r>
    </w:p>
    <w:p w14:paraId="5740097B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bookmarkStart w:id="2" w:name="_heading=h.czp5qar90yz5" w:colFirst="0" w:colLast="0"/>
      <w:bookmarkEnd w:id="2"/>
      <w:r>
        <w:rPr>
          <w:rFonts w:ascii="Times New Roman" w:eastAsia="Times New Roman" w:hAnsi="Times New Roman" w:cs="Times New Roman"/>
          <w:shd w:val="clear" w:color="auto" w:fill="F5F5F5"/>
        </w:rPr>
        <w:t xml:space="preserve">*% of total lymphocytes: Trace = 0-25%; 1 = 25-50%; 2 = 50-75%; 3 = 75-100%        </w:t>
      </w:r>
    </w:p>
    <w:tbl>
      <w:tblPr>
        <w:tblStyle w:val="a6"/>
        <w:tblW w:w="936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w:rsidR="00DA5F6E" w14:paraId="1AFA29C2" w14:textId="77777777">
        <w:trPr>
          <w:trHeight w:val="53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89A09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**n (%)</w:t>
            </w:r>
          </w:p>
        </w:tc>
      </w:tr>
      <w:tr w:rsidR="00DA5F6E" w14:paraId="22930115" w14:textId="77777777">
        <w:trPr>
          <w:trHeight w:val="53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0ACD4" w14:textId="77777777" w:rsidR="00DA5F6E" w:rsidRDefault="00814D5F">
            <w:pPr>
              <w:spacing w:before="240" w:after="240" w:line="480" w:lineRule="auto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5F5F5"/>
                <w:vertAlign w:val="superscript"/>
              </w:rPr>
              <w:t>***</w:t>
            </w:r>
            <w:r>
              <w:rPr>
                <w:rFonts w:ascii="Times New Roman" w:eastAsia="Times New Roman" w:hAnsi="Times New Roman" w:cs="Times New Roman"/>
                <w:shd w:val="clear" w:color="auto" w:fill="F5F5F5"/>
              </w:rPr>
              <w:t>Fisher’s exact test; Pearson’s Chi-squared test; Wilcoxon rank sum test; Two Sample t-test, Raw p-values were adjusted for type I error using the step-up Hochberg procedure for expected low frequencies.</w:t>
            </w:r>
          </w:p>
        </w:tc>
      </w:tr>
    </w:tbl>
    <w:p w14:paraId="7C9D41B7" w14:textId="77777777" w:rsidR="00DA5F6E" w:rsidRDefault="00814D5F">
      <w:pPr>
        <w:spacing w:before="240" w:after="240" w:line="480" w:lineRule="auto"/>
        <w:rPr>
          <w:rFonts w:ascii="Times New Roman" w:eastAsia="Times New Roman" w:hAnsi="Times New Roman" w:cs="Times New Roman"/>
          <w:shd w:val="clear" w:color="auto" w:fill="F5F5F5"/>
        </w:rPr>
      </w:pPr>
      <w:r>
        <w:rPr>
          <w:rFonts w:ascii="Times New Roman" w:eastAsia="Times New Roman" w:hAnsi="Times New Roman" w:cs="Times New Roman"/>
          <w:shd w:val="clear" w:color="auto" w:fill="F5F5F5"/>
        </w:rPr>
        <w:t> AGA: Androgenetic alopecia, cNAS: Clinically Normal appearing scalp, PIILIF: Perifollicular Infundibulo-isthmic lymphocytic infiltrates and fibrosis, AKN: Acne keloidalis nuchae</w:t>
      </w:r>
    </w:p>
    <w:p w14:paraId="37EF0770" w14:textId="77777777" w:rsidR="00DA5F6E" w:rsidRDefault="00DA5F6E"/>
    <w:p w14:paraId="67FD1433" w14:textId="77777777" w:rsidR="00DA5F6E" w:rsidRDefault="00DA5F6E"/>
    <w:sectPr w:rsidR="00DA5F6E">
      <w:footerReference w:type="even" r:id="rId7"/>
      <w:footerReference w:type="default" r:id="rId8"/>
      <w:footerReference w:type="first" r:id="rId9"/>
      <w:pgSz w:w="12240" w:h="15840"/>
      <w:pgMar w:top="1440" w:right="1800" w:bottom="1440" w:left="1800" w:header="720" w:footer="720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E2168" w14:textId="77777777" w:rsidR="00814D5F" w:rsidRDefault="00814D5F" w:rsidP="00814D5F">
      <w:pPr>
        <w:spacing w:after="0" w:line="240" w:lineRule="auto"/>
      </w:pPr>
      <w:r>
        <w:separator/>
      </w:r>
    </w:p>
  </w:endnote>
  <w:endnote w:type="continuationSeparator" w:id="0">
    <w:p w14:paraId="5E14440B" w14:textId="77777777" w:rsidR="00814D5F" w:rsidRDefault="00814D5F" w:rsidP="00814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BA3AB9F-276F-4CEB-B7F0-0996CD99CB0A}"/>
  </w:font>
  <w:font w:name="Play">
    <w:charset w:val="00"/>
    <w:family w:val="auto"/>
    <w:pitch w:val="default"/>
    <w:embedRegular r:id="rId2" w:fontKey="{50DA740A-935F-40C4-91F5-B121FF9408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E372D95C-59C2-4058-BB24-F4F7AD9A8F45}"/>
    <w:embedItalic r:id="rId4" w:fontKey="{7341FBAC-116B-458C-8815-79CC99DDEF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0AC520C-734F-42DB-A373-E3B6BF27580E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6" w:fontKey="{70970F01-570D-4923-A04E-6C39761EA9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E203D" w14:textId="5B7922F2" w:rsidR="00814D5F" w:rsidRDefault="00814D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13E78A7" wp14:editId="62EEC81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4705" cy="347345"/>
              <wp:effectExtent l="0" t="0" r="10795" b="0"/>
              <wp:wrapNone/>
              <wp:docPr id="526258100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4705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9B1CCE" w14:textId="56ACD2B1" w:rsidR="00814D5F" w:rsidRPr="00814D5F" w:rsidRDefault="00814D5F" w:rsidP="00814D5F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14D5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E78A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15pt;height:27.3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219B1CCE" w14:textId="56ACD2B1" w:rsidR="00814D5F" w:rsidRPr="00814D5F" w:rsidRDefault="00814D5F" w:rsidP="00814D5F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14D5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39AF" w14:textId="6DC61DBE" w:rsidR="00814D5F" w:rsidRDefault="00814D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470031F" wp14:editId="23653B2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4705" cy="347345"/>
              <wp:effectExtent l="0" t="0" r="10795" b="0"/>
              <wp:wrapNone/>
              <wp:docPr id="212954848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4705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C2C30E" w14:textId="57C1DEAE" w:rsidR="00814D5F" w:rsidRPr="00814D5F" w:rsidRDefault="00814D5F" w:rsidP="00814D5F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14D5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70031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15pt;height:27.3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71C2C30E" w14:textId="57C1DEAE" w:rsidR="00814D5F" w:rsidRPr="00814D5F" w:rsidRDefault="00814D5F" w:rsidP="00814D5F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14D5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2B514" w14:textId="0FDA546B" w:rsidR="00814D5F" w:rsidRDefault="00814D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5E538B4" wp14:editId="5921B3B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4705" cy="347345"/>
              <wp:effectExtent l="0" t="0" r="10795" b="0"/>
              <wp:wrapNone/>
              <wp:docPr id="300288564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4705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E010A8" w14:textId="58EBD6B8" w:rsidR="00814D5F" w:rsidRPr="00814D5F" w:rsidRDefault="00814D5F" w:rsidP="00814D5F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14D5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538B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15pt;height:27.3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32E010A8" w14:textId="58EBD6B8" w:rsidR="00814D5F" w:rsidRPr="00814D5F" w:rsidRDefault="00814D5F" w:rsidP="00814D5F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14D5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48C17" w14:textId="77777777" w:rsidR="00814D5F" w:rsidRDefault="00814D5F" w:rsidP="00814D5F">
      <w:pPr>
        <w:spacing w:after="0" w:line="240" w:lineRule="auto"/>
      </w:pPr>
      <w:r>
        <w:separator/>
      </w:r>
    </w:p>
  </w:footnote>
  <w:footnote w:type="continuationSeparator" w:id="0">
    <w:p w14:paraId="386BA069" w14:textId="77777777" w:rsidR="00814D5F" w:rsidRDefault="00814D5F" w:rsidP="00814D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F6E"/>
    <w:rsid w:val="00814D5F"/>
    <w:rsid w:val="00C378D7"/>
    <w:rsid w:val="00DA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E5010"/>
  <w15:docId w15:val="{B4BA5E96-3289-4895-95B5-DEE7AE6EB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rFonts w:ascii="Aptos" w:eastAsia="Aptos" w:hAnsi="Aptos" w:cs="Aptos"/>
      <w:color w:val="2E75B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rFonts w:ascii="Aptos" w:eastAsia="Aptos" w:hAnsi="Aptos" w:cs="Aptos"/>
      <w:i/>
      <w:iCs/>
      <w:color w:val="2E75B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rFonts w:ascii="Aptos" w:eastAsia="Aptos" w:hAnsi="Aptos" w:cs="Aptos"/>
      <w:color w:val="2E75B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59" w:lineRule="auto"/>
      <w:outlineLvl w:val="5"/>
    </w:pPr>
    <w:rPr>
      <w:rFonts w:ascii="Aptos" w:eastAsia="Aptos" w:hAnsi="Aptos" w:cs="Aptos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5F9C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5F9C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5F9C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45F9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5F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5F9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5F9C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5F9C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5F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5F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5F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5F9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45F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D45F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5F9C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D45F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5F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styleId="IntenseEmphasis">
    <w:name w:val="Intense Emphasis"/>
    <w:basedOn w:val="DefaultParagraphFont"/>
    <w:uiPriority w:val="21"/>
    <w:qFormat/>
    <w:rsid w:val="00D45F9C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F9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F9C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5F9C"/>
    <w:rPr>
      <w:b/>
      <w:bCs/>
      <w:smallCaps/>
      <w:color w:val="2E74B5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D45F9C"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14D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Rr5i4T+hl/eu3XLb8sHTKIZD0w==">CgMxLjAyCWguMmV0OTJwMDIJaC4zZHk2dmttMg5oLmN6cDVxYXI5MHl6NTgAciExelMtY1REVDctT216YnVLdkdWMnFBRWdaRzIyQ2dFMGU=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1410</Words>
  <Characters>8042</Characters>
  <Application>Microsoft Office Word</Application>
  <DocSecurity>0</DocSecurity>
  <Lines>67</Lines>
  <Paragraphs>18</Paragraphs>
  <ScaleCrop>false</ScaleCrop>
  <Company/>
  <LinksUpToDate>false</LinksUpToDate>
  <CharactersWithSpaces>9434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cybergrind@br72.onmicrosoft.com</dc:creator>
  <cp:lastModifiedBy>Zakeri, Fatin</cp:lastModifiedBy>
  <cp:revision>2</cp:revision>
  <dcterms:created xsi:type="dcterms:W3CDTF">2025-12-03T18:44:00Z</dcterms:created>
  <dcterms:modified xsi:type="dcterms:W3CDTF">2025-12-03T18:44:00Z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11e60a34,1f5e0fb4,7eee54c7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2025-12-03T18:44:35Z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25556b05-5d50-4e74-b776-549f904d970f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