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0DECF" w14:textId="4E3DE643" w:rsidR="00276AB7" w:rsidRPr="00054182" w:rsidRDefault="00276AB7" w:rsidP="00CB2DBD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054182">
        <w:rPr>
          <w:rFonts w:ascii="Arial" w:hAnsi="Arial" w:cs="Arial"/>
          <w:b/>
          <w:bCs/>
          <w:color w:val="000000"/>
          <w:sz w:val="20"/>
          <w:szCs w:val="20"/>
        </w:rPr>
        <w:t>Supplementary Material</w:t>
      </w:r>
      <w:r w:rsidR="00061FDF" w:rsidRPr="0005418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17E35988" w14:textId="77777777" w:rsidR="00061FDF" w:rsidRPr="00054182" w:rsidRDefault="00061FDF" w:rsidP="00CB2DBD">
      <w:pPr>
        <w:rPr>
          <w:rFonts w:hint="eastAsia"/>
          <w:b/>
          <w:bCs/>
          <w:color w:val="000000"/>
          <w:sz w:val="20"/>
          <w:szCs w:val="20"/>
        </w:rPr>
      </w:pPr>
    </w:p>
    <w:p w14:paraId="73F7051A" w14:textId="03E8E747" w:rsidR="00CB2DBD" w:rsidRPr="00106F2A" w:rsidRDefault="00061FDF" w:rsidP="00CB2DBD">
      <w:pPr>
        <w:rPr>
          <w:rFonts w:ascii="Arial" w:hAnsi="Arial" w:cs="Arial"/>
          <w:sz w:val="20"/>
          <w:szCs w:val="20"/>
        </w:rPr>
      </w:pPr>
      <w:r w:rsidRPr="00106F2A">
        <w:rPr>
          <w:rFonts w:ascii="Arial" w:hAnsi="Arial" w:cs="Arial"/>
          <w:b/>
          <w:bCs/>
          <w:sz w:val="20"/>
          <w:szCs w:val="20"/>
        </w:rPr>
        <w:t>Supplementary Methods</w:t>
      </w:r>
      <w:r w:rsidR="002A3B79" w:rsidRPr="00106F2A">
        <w:rPr>
          <w:rFonts w:ascii="Arial" w:hAnsi="Arial" w:cs="Arial" w:hint="eastAsia"/>
          <w:b/>
          <w:bCs/>
          <w:sz w:val="20"/>
          <w:szCs w:val="20"/>
        </w:rPr>
        <w:t xml:space="preserve">: </w:t>
      </w:r>
      <w:r w:rsidR="00CB2DBD" w:rsidRPr="00106F2A">
        <w:rPr>
          <w:rFonts w:ascii="Arial" w:hAnsi="Arial" w:cs="Arial"/>
          <w:sz w:val="20"/>
          <w:szCs w:val="20"/>
        </w:rPr>
        <w:t>​</w:t>
      </w:r>
      <w:r w:rsidR="00CB2DBD" w:rsidRPr="00106F2A">
        <w:rPr>
          <w:rFonts w:ascii="Arial" w:hAnsi="Arial" w:cs="Arial"/>
          <w:b/>
          <w:bCs/>
          <w:sz w:val="20"/>
          <w:szCs w:val="20"/>
        </w:rPr>
        <w:t>TCMC Scoring and Classification Criteria</w:t>
      </w:r>
    </w:p>
    <w:p w14:paraId="7E22C117" w14:textId="77777777" w:rsidR="00CB2DBD" w:rsidRPr="00054182" w:rsidRDefault="00CB2DBD">
      <w:pPr>
        <w:rPr>
          <w:rFonts w:ascii="Arial" w:hAnsi="Arial" w:cs="Arial"/>
          <w:sz w:val="20"/>
          <w:szCs w:val="20"/>
        </w:rPr>
      </w:pPr>
    </w:p>
    <w:p w14:paraId="338359F9" w14:textId="31434E62" w:rsidR="0064394C" w:rsidRPr="00054182" w:rsidRDefault="0094539F">
      <w:pPr>
        <w:rPr>
          <w:rFonts w:ascii="Arial" w:hAnsi="Arial" w:cs="Arial"/>
          <w:sz w:val="20"/>
          <w:szCs w:val="20"/>
        </w:rPr>
      </w:pPr>
      <w:r w:rsidRPr="00054182">
        <w:rPr>
          <w:rFonts w:ascii="Arial" w:hAnsi="Arial" w:cs="Arial"/>
          <w:sz w:val="20"/>
          <w:szCs w:val="20"/>
        </w:rPr>
        <w:t>Each TCMC type was classified into one of three categories: "confirmed," "prone," or "none," expressed as balanced constitution (confirmed/prone/none), based on the total scores of respective constitution items. Specifically: 1) For non-balanced constitutions, a total score ≥11 points indicated a "confirmed" constitution, while scores of 9-10 points indicated a "prone" status; 2) For the Balanced constitution, a score ≥17 points combined with all other constitution scores ≤8 points defined a "confirmed" balanced constitution. A score ≥17 points for balanced constitution with any other constitution score ≤10 points (but ≥9 points) indicated a "prone to balanced" status. All other cases were classified as "non-balanced" constitutions.</w:t>
      </w:r>
    </w:p>
    <w:p w14:paraId="0C09A7BD" w14:textId="561D8842" w:rsidR="00F131E5" w:rsidRPr="00054182" w:rsidRDefault="00F131E5">
      <w:pPr>
        <w:widowControl/>
        <w:jc w:val="left"/>
        <w:rPr>
          <w:rFonts w:ascii="Arial" w:hAnsi="Arial" w:cs="Arial"/>
          <w:sz w:val="20"/>
          <w:szCs w:val="20"/>
        </w:rPr>
      </w:pPr>
      <w:r w:rsidRPr="00054182">
        <w:rPr>
          <w:rFonts w:ascii="Arial" w:hAnsi="Arial" w:cs="Arial"/>
          <w:sz w:val="20"/>
          <w:szCs w:val="20"/>
        </w:rPr>
        <w:br w:type="page"/>
      </w:r>
    </w:p>
    <w:p w14:paraId="369D4BBF" w14:textId="6B68A79D" w:rsidR="00F72588" w:rsidRPr="00054182" w:rsidRDefault="00DE4736" w:rsidP="00F72588">
      <w:pPr>
        <w:ind w:firstLine="200"/>
        <w:rPr>
          <w:rFonts w:ascii="Arial" w:hAnsi="Arial" w:cs="Arial"/>
          <w:sz w:val="20"/>
          <w:szCs w:val="20"/>
        </w:rPr>
      </w:pPr>
      <w:r w:rsidRPr="00054182">
        <w:rPr>
          <w:rFonts w:ascii="Arial" w:hAnsi="Arial" w:cs="Arial"/>
          <w:b/>
          <w:bCs/>
          <w:sz w:val="20"/>
          <w:szCs w:val="20"/>
        </w:rPr>
        <w:lastRenderedPageBreak/>
        <w:t xml:space="preserve">Table </w:t>
      </w:r>
      <w:r w:rsidR="0022608C">
        <w:rPr>
          <w:rFonts w:ascii="Arial" w:hAnsi="Arial" w:cs="Arial" w:hint="eastAsia"/>
          <w:b/>
          <w:bCs/>
          <w:sz w:val="20"/>
          <w:szCs w:val="20"/>
        </w:rPr>
        <w:t>S</w:t>
      </w:r>
      <w:r w:rsidRPr="00054182">
        <w:rPr>
          <w:rFonts w:ascii="Arial" w:hAnsi="Arial" w:cs="Arial"/>
          <w:b/>
          <w:bCs/>
          <w:sz w:val="20"/>
          <w:szCs w:val="20"/>
        </w:rPr>
        <w:t>1</w:t>
      </w:r>
      <w:r w:rsidRPr="00054182">
        <w:rPr>
          <w:rFonts w:ascii="Arial" w:hAnsi="Arial" w:cs="Arial" w:hint="eastAsia"/>
          <w:b/>
          <w:bCs/>
          <w:sz w:val="20"/>
          <w:szCs w:val="20"/>
        </w:rPr>
        <w:t xml:space="preserve"> </w:t>
      </w:r>
      <w:r w:rsidR="00030270" w:rsidRPr="00054182">
        <w:rPr>
          <w:rFonts w:ascii="Arial" w:hAnsi="Arial" w:cs="Arial"/>
          <w:sz w:val="20"/>
          <w:szCs w:val="20"/>
        </w:rPr>
        <w:t xml:space="preserve">Sensitivity Analysis of the Association Between Qi-stagnation </w:t>
      </w:r>
      <w:r w:rsidR="00E66506" w:rsidRPr="00054182">
        <w:rPr>
          <w:rFonts w:ascii="Arial" w:hAnsi="Arial" w:cs="Arial" w:hint="eastAsia"/>
          <w:sz w:val="20"/>
          <w:szCs w:val="20"/>
        </w:rPr>
        <w:t>C</w:t>
      </w:r>
      <w:r w:rsidR="00030270" w:rsidRPr="00054182">
        <w:rPr>
          <w:rFonts w:ascii="Arial" w:hAnsi="Arial" w:cs="Arial"/>
          <w:sz w:val="20"/>
          <w:szCs w:val="20"/>
        </w:rPr>
        <w:t>onstitution and Cognitive Frailty</w:t>
      </w:r>
    </w:p>
    <w:tbl>
      <w:tblPr>
        <w:tblStyle w:val="af2"/>
        <w:tblW w:w="5000" w:type="pct"/>
        <w:tblLook w:val="01E0" w:firstRow="1" w:lastRow="1" w:firstColumn="1" w:lastColumn="1" w:noHBand="0" w:noVBand="0"/>
      </w:tblPr>
      <w:tblGrid>
        <w:gridCol w:w="2985"/>
        <w:gridCol w:w="1352"/>
        <w:gridCol w:w="2693"/>
        <w:gridCol w:w="1266"/>
      </w:tblGrid>
      <w:tr w:rsidR="00F72588" w:rsidRPr="00054182" w14:paraId="68044324" w14:textId="77777777" w:rsidTr="00505312">
        <w:trPr>
          <w:trHeight w:val="285"/>
        </w:trPr>
        <w:tc>
          <w:tcPr>
            <w:tcW w:w="1667" w:type="pct"/>
            <w:noWrap/>
            <w:hideMark/>
          </w:tcPr>
          <w:p w14:paraId="303805EB" w14:textId="77777777" w:rsidR="00F72588" w:rsidRPr="00054182" w:rsidRDefault="00F72588" w:rsidP="00F7258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5418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Variables</w:t>
            </w:r>
          </w:p>
        </w:tc>
        <w:tc>
          <w:tcPr>
            <w:tcW w:w="859" w:type="pct"/>
            <w:noWrap/>
            <w:hideMark/>
          </w:tcPr>
          <w:p w14:paraId="7047DC5E" w14:textId="77777777" w:rsidR="00F72588" w:rsidRPr="00054182" w:rsidRDefault="00F72588" w:rsidP="00F7258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5418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aOR </w:t>
            </w:r>
          </w:p>
        </w:tc>
        <w:tc>
          <w:tcPr>
            <w:tcW w:w="1667" w:type="pct"/>
            <w:noWrap/>
            <w:hideMark/>
          </w:tcPr>
          <w:p w14:paraId="0FDDE462" w14:textId="77777777" w:rsidR="00F72588" w:rsidRPr="00054182" w:rsidRDefault="00F72588" w:rsidP="00F7258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5418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95%CI of aOR</w:t>
            </w:r>
          </w:p>
        </w:tc>
        <w:tc>
          <w:tcPr>
            <w:tcW w:w="807" w:type="pct"/>
            <w:noWrap/>
            <w:hideMark/>
          </w:tcPr>
          <w:p w14:paraId="4E8F3C2C" w14:textId="77777777" w:rsidR="00F72588" w:rsidRPr="00054182" w:rsidRDefault="00F72588" w:rsidP="00F7258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54182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05418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-value</w:t>
            </w:r>
          </w:p>
        </w:tc>
      </w:tr>
      <w:tr w:rsidR="00F72588" w:rsidRPr="00054182" w14:paraId="737993A5" w14:textId="77777777" w:rsidTr="00505312">
        <w:trPr>
          <w:trHeight w:val="285"/>
        </w:trPr>
        <w:tc>
          <w:tcPr>
            <w:tcW w:w="1667" w:type="pct"/>
            <w:noWrap/>
            <w:hideMark/>
          </w:tcPr>
          <w:p w14:paraId="0690B025" w14:textId="77777777" w:rsidR="00F72588" w:rsidRPr="00054182" w:rsidRDefault="00F72588" w:rsidP="00F7258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5418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QSC</w:t>
            </w:r>
          </w:p>
        </w:tc>
        <w:tc>
          <w:tcPr>
            <w:tcW w:w="859" w:type="pct"/>
            <w:noWrap/>
            <w:hideMark/>
          </w:tcPr>
          <w:p w14:paraId="77C23CC7" w14:textId="77777777" w:rsidR="00F72588" w:rsidRPr="00054182" w:rsidRDefault="00F72588" w:rsidP="00F7258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5418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11.13</w:t>
            </w:r>
          </w:p>
        </w:tc>
        <w:tc>
          <w:tcPr>
            <w:tcW w:w="1667" w:type="pct"/>
            <w:noWrap/>
            <w:hideMark/>
          </w:tcPr>
          <w:p w14:paraId="71A2871D" w14:textId="77777777" w:rsidR="00F72588" w:rsidRPr="00054182" w:rsidRDefault="00F72588" w:rsidP="00F7258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5418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1.84~67.20</w:t>
            </w:r>
          </w:p>
        </w:tc>
        <w:tc>
          <w:tcPr>
            <w:tcW w:w="807" w:type="pct"/>
            <w:noWrap/>
            <w:hideMark/>
          </w:tcPr>
          <w:p w14:paraId="0326683D" w14:textId="77777777" w:rsidR="00F72588" w:rsidRPr="00054182" w:rsidRDefault="00F72588" w:rsidP="00F7258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5418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0.009</w:t>
            </w:r>
          </w:p>
        </w:tc>
      </w:tr>
      <w:tr w:rsidR="00F72588" w:rsidRPr="00054182" w14:paraId="31E12054" w14:textId="77777777" w:rsidTr="00505312">
        <w:trPr>
          <w:trHeight w:val="285"/>
        </w:trPr>
        <w:tc>
          <w:tcPr>
            <w:tcW w:w="1667" w:type="pct"/>
            <w:noWrap/>
            <w:hideMark/>
          </w:tcPr>
          <w:p w14:paraId="1A221695" w14:textId="2CB36A78" w:rsidR="00F72588" w:rsidRPr="00054182" w:rsidRDefault="004F1AD1" w:rsidP="00F7258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5418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R</w:t>
            </w:r>
            <w:r w:rsidR="00F72588" w:rsidRPr="0005418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esidence</w:t>
            </w:r>
          </w:p>
        </w:tc>
        <w:tc>
          <w:tcPr>
            <w:tcW w:w="859" w:type="pct"/>
            <w:noWrap/>
            <w:hideMark/>
          </w:tcPr>
          <w:p w14:paraId="28C9236E" w14:textId="77777777" w:rsidR="00F72588" w:rsidRPr="00054182" w:rsidRDefault="00F72588" w:rsidP="00F7258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5418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2.700</w:t>
            </w:r>
          </w:p>
        </w:tc>
        <w:tc>
          <w:tcPr>
            <w:tcW w:w="1667" w:type="pct"/>
            <w:noWrap/>
            <w:hideMark/>
          </w:tcPr>
          <w:p w14:paraId="4760E982" w14:textId="77777777" w:rsidR="00F72588" w:rsidRPr="00054182" w:rsidRDefault="00F72588" w:rsidP="00F7258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5418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1.62~4.50</w:t>
            </w:r>
          </w:p>
        </w:tc>
        <w:tc>
          <w:tcPr>
            <w:tcW w:w="807" w:type="pct"/>
            <w:noWrap/>
            <w:hideMark/>
          </w:tcPr>
          <w:p w14:paraId="6BEB030E" w14:textId="77777777" w:rsidR="00F72588" w:rsidRPr="00054182" w:rsidRDefault="00F72588" w:rsidP="00F7258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5418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F72588" w:rsidRPr="00054182" w14:paraId="56C6E50C" w14:textId="77777777" w:rsidTr="00505312">
        <w:trPr>
          <w:trHeight w:val="285"/>
        </w:trPr>
        <w:tc>
          <w:tcPr>
            <w:tcW w:w="1667" w:type="pct"/>
            <w:noWrap/>
            <w:hideMark/>
          </w:tcPr>
          <w:p w14:paraId="24A21441" w14:textId="77777777" w:rsidR="00F72588" w:rsidRPr="00054182" w:rsidRDefault="00F72588" w:rsidP="00F7258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5418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Mild depression</w:t>
            </w:r>
          </w:p>
        </w:tc>
        <w:tc>
          <w:tcPr>
            <w:tcW w:w="859" w:type="pct"/>
            <w:noWrap/>
            <w:hideMark/>
          </w:tcPr>
          <w:p w14:paraId="78EFBE01" w14:textId="77777777" w:rsidR="00F72588" w:rsidRPr="00054182" w:rsidRDefault="00F72588" w:rsidP="00F7258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5418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1.590</w:t>
            </w:r>
          </w:p>
        </w:tc>
        <w:tc>
          <w:tcPr>
            <w:tcW w:w="1667" w:type="pct"/>
            <w:noWrap/>
            <w:hideMark/>
          </w:tcPr>
          <w:p w14:paraId="205915A4" w14:textId="77777777" w:rsidR="00F72588" w:rsidRPr="00054182" w:rsidRDefault="00F72588" w:rsidP="00F7258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5418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0.73~3.48</w:t>
            </w:r>
          </w:p>
        </w:tc>
        <w:tc>
          <w:tcPr>
            <w:tcW w:w="807" w:type="pct"/>
            <w:noWrap/>
            <w:hideMark/>
          </w:tcPr>
          <w:p w14:paraId="149FF000" w14:textId="77777777" w:rsidR="00F72588" w:rsidRPr="00054182" w:rsidRDefault="00F72588" w:rsidP="00F7258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5418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0.243</w:t>
            </w:r>
          </w:p>
        </w:tc>
      </w:tr>
      <w:tr w:rsidR="00F72588" w:rsidRPr="00054182" w14:paraId="49DC81DB" w14:textId="77777777" w:rsidTr="00505312">
        <w:trPr>
          <w:trHeight w:val="285"/>
        </w:trPr>
        <w:tc>
          <w:tcPr>
            <w:tcW w:w="1667" w:type="pct"/>
            <w:noWrap/>
            <w:hideMark/>
          </w:tcPr>
          <w:p w14:paraId="274DEE47" w14:textId="77777777" w:rsidR="00F72588" w:rsidRPr="00054182" w:rsidRDefault="00F72588" w:rsidP="00F7258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5418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Moderate or severe depression</w:t>
            </w:r>
          </w:p>
        </w:tc>
        <w:tc>
          <w:tcPr>
            <w:tcW w:w="859" w:type="pct"/>
            <w:noWrap/>
            <w:hideMark/>
          </w:tcPr>
          <w:p w14:paraId="73BAE95D" w14:textId="77777777" w:rsidR="00F72588" w:rsidRPr="00054182" w:rsidRDefault="00F72588" w:rsidP="00F7258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5418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10.600</w:t>
            </w:r>
          </w:p>
        </w:tc>
        <w:tc>
          <w:tcPr>
            <w:tcW w:w="1667" w:type="pct"/>
            <w:noWrap/>
            <w:hideMark/>
          </w:tcPr>
          <w:p w14:paraId="6497913D" w14:textId="77777777" w:rsidR="00F72588" w:rsidRPr="00054182" w:rsidRDefault="00F72588" w:rsidP="00F7258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5418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1.92~58.52</w:t>
            </w:r>
          </w:p>
        </w:tc>
        <w:tc>
          <w:tcPr>
            <w:tcW w:w="807" w:type="pct"/>
            <w:noWrap/>
            <w:hideMark/>
          </w:tcPr>
          <w:p w14:paraId="25ABC620" w14:textId="77777777" w:rsidR="00F72588" w:rsidRPr="00054182" w:rsidRDefault="00F72588" w:rsidP="00F7258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5418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0.007</w:t>
            </w:r>
          </w:p>
        </w:tc>
      </w:tr>
      <w:tr w:rsidR="00F72588" w:rsidRPr="00054182" w14:paraId="36DE7329" w14:textId="77777777" w:rsidTr="00505312">
        <w:trPr>
          <w:trHeight w:val="285"/>
        </w:trPr>
        <w:tc>
          <w:tcPr>
            <w:tcW w:w="1667" w:type="pct"/>
            <w:noWrap/>
            <w:hideMark/>
          </w:tcPr>
          <w:p w14:paraId="2B6E8C4C" w14:textId="77777777" w:rsidR="00F72588" w:rsidRPr="00054182" w:rsidRDefault="00F72588" w:rsidP="00F7258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5418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Education level</w:t>
            </w:r>
          </w:p>
        </w:tc>
        <w:tc>
          <w:tcPr>
            <w:tcW w:w="859" w:type="pct"/>
            <w:noWrap/>
            <w:hideMark/>
          </w:tcPr>
          <w:p w14:paraId="4B08FC00" w14:textId="77777777" w:rsidR="00F72588" w:rsidRPr="00054182" w:rsidRDefault="00F72588" w:rsidP="00F7258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5418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0.720</w:t>
            </w:r>
          </w:p>
        </w:tc>
        <w:tc>
          <w:tcPr>
            <w:tcW w:w="1667" w:type="pct"/>
            <w:noWrap/>
            <w:hideMark/>
          </w:tcPr>
          <w:p w14:paraId="32B87546" w14:textId="77777777" w:rsidR="00F72588" w:rsidRPr="00054182" w:rsidRDefault="00F72588" w:rsidP="00F7258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5418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0.59~0.89</w:t>
            </w:r>
          </w:p>
        </w:tc>
        <w:tc>
          <w:tcPr>
            <w:tcW w:w="807" w:type="pct"/>
            <w:noWrap/>
            <w:hideMark/>
          </w:tcPr>
          <w:p w14:paraId="6977E022" w14:textId="77777777" w:rsidR="00F72588" w:rsidRPr="00054182" w:rsidRDefault="00F72588" w:rsidP="00F7258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5418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0.003</w:t>
            </w:r>
          </w:p>
        </w:tc>
      </w:tr>
      <w:tr w:rsidR="00F72588" w:rsidRPr="00054182" w14:paraId="2B9B0734" w14:textId="77777777" w:rsidTr="00505312">
        <w:trPr>
          <w:trHeight w:val="285"/>
        </w:trPr>
        <w:tc>
          <w:tcPr>
            <w:tcW w:w="1667" w:type="pct"/>
            <w:noWrap/>
            <w:hideMark/>
          </w:tcPr>
          <w:p w14:paraId="0EF4BA93" w14:textId="28BF40A9" w:rsidR="00F72588" w:rsidRPr="00054182" w:rsidRDefault="004F1AD1" w:rsidP="00F7258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5418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S</w:t>
            </w:r>
            <w:r w:rsidR="00F72588" w:rsidRPr="0005418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martphone use</w:t>
            </w:r>
          </w:p>
        </w:tc>
        <w:tc>
          <w:tcPr>
            <w:tcW w:w="859" w:type="pct"/>
            <w:noWrap/>
            <w:hideMark/>
          </w:tcPr>
          <w:p w14:paraId="5DA6423D" w14:textId="77777777" w:rsidR="00F72588" w:rsidRPr="00054182" w:rsidRDefault="00F72588" w:rsidP="00F7258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5418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0.320</w:t>
            </w:r>
          </w:p>
        </w:tc>
        <w:tc>
          <w:tcPr>
            <w:tcW w:w="1667" w:type="pct"/>
            <w:noWrap/>
            <w:hideMark/>
          </w:tcPr>
          <w:p w14:paraId="4E47F7C6" w14:textId="77777777" w:rsidR="00F72588" w:rsidRPr="00054182" w:rsidRDefault="00F72588" w:rsidP="00F7258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5418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0.19~0.53</w:t>
            </w:r>
          </w:p>
        </w:tc>
        <w:tc>
          <w:tcPr>
            <w:tcW w:w="807" w:type="pct"/>
            <w:noWrap/>
            <w:hideMark/>
          </w:tcPr>
          <w:p w14:paraId="39F94A0F" w14:textId="77777777" w:rsidR="00F72588" w:rsidRPr="00054182" w:rsidRDefault="00F72588" w:rsidP="00F7258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5418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</w:tbl>
    <w:p w14:paraId="650A1AA8" w14:textId="77777777" w:rsidR="006572D0" w:rsidRPr="00054182" w:rsidRDefault="006572D0" w:rsidP="00F72588">
      <w:pPr>
        <w:rPr>
          <w:rFonts w:ascii="Arial" w:hAnsi="Arial" w:cs="Arial"/>
          <w:b/>
          <w:sz w:val="20"/>
          <w:szCs w:val="20"/>
        </w:rPr>
      </w:pPr>
    </w:p>
    <w:p w14:paraId="0443C8A5" w14:textId="3C2DB26C" w:rsidR="00F72588" w:rsidRPr="00054182" w:rsidRDefault="006572D0" w:rsidP="00F72588">
      <w:pPr>
        <w:rPr>
          <w:rFonts w:ascii="Arial" w:hAnsi="Arial" w:cs="Arial"/>
          <w:b/>
          <w:sz w:val="20"/>
          <w:szCs w:val="20"/>
        </w:rPr>
      </w:pPr>
      <w:r w:rsidRPr="00054182">
        <w:rPr>
          <w:rFonts w:ascii="Arial" w:hAnsi="Arial" w:cs="Arial"/>
          <w:b/>
          <w:sz w:val="20"/>
          <w:szCs w:val="20"/>
        </w:rPr>
        <w:t xml:space="preserve">Notes: </w:t>
      </w:r>
      <w:r w:rsidRPr="00054182">
        <w:rPr>
          <w:rFonts w:ascii="Arial" w:hAnsi="Arial" w:cs="Arial"/>
          <w:bCs/>
          <w:sz w:val="20"/>
          <w:szCs w:val="20"/>
        </w:rPr>
        <w:t>Model 4 presents the results of a sensitivity analysis, which includes the 'senior residence' variable but excludes ADL and IADL from the adjustment set of the full model (Model 3).</w:t>
      </w:r>
    </w:p>
    <w:p w14:paraId="73C5540E" w14:textId="4FA82048" w:rsidR="00F72588" w:rsidRPr="00054182" w:rsidRDefault="00F72588" w:rsidP="00F72588">
      <w:pPr>
        <w:rPr>
          <w:rFonts w:ascii="Arial" w:hAnsi="Arial" w:cs="Arial"/>
          <w:sz w:val="20"/>
          <w:szCs w:val="20"/>
        </w:rPr>
      </w:pPr>
      <w:r w:rsidRPr="00054182">
        <w:rPr>
          <w:rFonts w:ascii="Arial" w:hAnsi="Arial" w:cs="Arial"/>
          <w:b/>
          <w:sz w:val="20"/>
          <w:szCs w:val="20"/>
        </w:rPr>
        <w:t>Abbreviations:</w:t>
      </w:r>
      <w:r w:rsidRPr="00054182">
        <w:rPr>
          <w:rFonts w:ascii="Arial" w:hAnsi="Arial" w:cs="Arial"/>
          <w:sz w:val="20"/>
          <w:szCs w:val="20"/>
        </w:rPr>
        <w:t xml:space="preserve"> </w:t>
      </w:r>
      <w:r w:rsidR="00FB2590" w:rsidRPr="00054182">
        <w:rPr>
          <w:rFonts w:ascii="Arial" w:hAnsi="Arial" w:cs="Arial"/>
          <w:sz w:val="20"/>
          <w:szCs w:val="20"/>
        </w:rPr>
        <w:t>CF, cognitive frailty; aOR, adjusted odds ratio; QSC, Qi-stagnation constitution; ADL, activities of daily living; IADL, instrumental activities of daily living.</w:t>
      </w:r>
    </w:p>
    <w:p w14:paraId="3EB646A0" w14:textId="77777777" w:rsidR="00376685" w:rsidRPr="00054182" w:rsidRDefault="00376685">
      <w:pPr>
        <w:rPr>
          <w:rFonts w:ascii="Arial" w:hAnsi="Arial" w:cs="Arial"/>
          <w:sz w:val="20"/>
          <w:szCs w:val="20"/>
        </w:rPr>
      </w:pPr>
    </w:p>
    <w:sectPr w:rsidR="00376685" w:rsidRPr="00054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C97B7" w14:textId="77777777" w:rsidR="000375F9" w:rsidRDefault="000375F9" w:rsidP="0094539F">
      <w:pPr>
        <w:rPr>
          <w:rFonts w:hint="eastAsia"/>
        </w:rPr>
      </w:pPr>
      <w:r>
        <w:separator/>
      </w:r>
    </w:p>
  </w:endnote>
  <w:endnote w:type="continuationSeparator" w:id="0">
    <w:p w14:paraId="7B907E05" w14:textId="77777777" w:rsidR="000375F9" w:rsidRDefault="000375F9" w:rsidP="0094539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60867" w14:textId="77777777" w:rsidR="000375F9" w:rsidRDefault="000375F9" w:rsidP="0094539F">
      <w:pPr>
        <w:rPr>
          <w:rFonts w:hint="eastAsia"/>
        </w:rPr>
      </w:pPr>
      <w:r>
        <w:separator/>
      </w:r>
    </w:p>
  </w:footnote>
  <w:footnote w:type="continuationSeparator" w:id="0">
    <w:p w14:paraId="77454669" w14:textId="77777777" w:rsidR="000375F9" w:rsidRDefault="000375F9" w:rsidP="0094539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2C"/>
    <w:rsid w:val="00030270"/>
    <w:rsid w:val="000375F9"/>
    <w:rsid w:val="00054182"/>
    <w:rsid w:val="00061FDF"/>
    <w:rsid w:val="00106F2A"/>
    <w:rsid w:val="00150DA6"/>
    <w:rsid w:val="001C3311"/>
    <w:rsid w:val="001E3D2C"/>
    <w:rsid w:val="0022608C"/>
    <w:rsid w:val="00276AB7"/>
    <w:rsid w:val="002A3B79"/>
    <w:rsid w:val="00331F29"/>
    <w:rsid w:val="00376685"/>
    <w:rsid w:val="00470B60"/>
    <w:rsid w:val="004F1AD1"/>
    <w:rsid w:val="00505312"/>
    <w:rsid w:val="00532B9D"/>
    <w:rsid w:val="0064394C"/>
    <w:rsid w:val="006572D0"/>
    <w:rsid w:val="00672ED8"/>
    <w:rsid w:val="00734A48"/>
    <w:rsid w:val="00761245"/>
    <w:rsid w:val="0094539F"/>
    <w:rsid w:val="00A515FD"/>
    <w:rsid w:val="00BE4C8E"/>
    <w:rsid w:val="00C34D87"/>
    <w:rsid w:val="00CB2DBD"/>
    <w:rsid w:val="00CD6B3D"/>
    <w:rsid w:val="00D62AA6"/>
    <w:rsid w:val="00DC09B0"/>
    <w:rsid w:val="00DE4736"/>
    <w:rsid w:val="00E66506"/>
    <w:rsid w:val="00EB32AE"/>
    <w:rsid w:val="00F131E5"/>
    <w:rsid w:val="00F71399"/>
    <w:rsid w:val="00F72588"/>
    <w:rsid w:val="00FB2590"/>
    <w:rsid w:val="00FD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C37463"/>
  <w15:chartTrackingRefBased/>
  <w15:docId w15:val="{405EBAED-A3B0-4FF4-A5D7-A023A07A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BE4C8E"/>
    <w:pPr>
      <w:keepNext/>
      <w:keepLines/>
      <w:spacing w:before="480" w:after="80"/>
      <w:outlineLvl w:val="0"/>
    </w:pPr>
    <w:rPr>
      <w:rFonts w:ascii="Times New Roman" w:eastAsia="宋体" w:hAnsi="Times New Roman" w:cstheme="majorBidi"/>
      <w:color w:val="0F4761" w:themeColor="accent1" w:themeShade="BF"/>
      <w:sz w:val="48"/>
      <w:szCs w:val="48"/>
    </w:rPr>
  </w:style>
  <w:style w:type="paragraph" w:styleId="2">
    <w:name w:val="heading 2"/>
    <w:basedOn w:val="1"/>
    <w:next w:val="a"/>
    <w:link w:val="20"/>
    <w:autoRedefine/>
    <w:uiPriority w:val="9"/>
    <w:unhideWhenUsed/>
    <w:qFormat/>
    <w:rsid w:val="00BE4C8E"/>
    <w:pPr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D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D2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D2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D2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D2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D2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D2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C8E"/>
    <w:rPr>
      <w:rFonts w:ascii="Times New Roman" w:eastAsia="宋体" w:hAnsi="Times New Roman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BE4C8E"/>
    <w:rPr>
      <w:rFonts w:ascii="Times New Roman" w:eastAsia="宋体" w:hAnsi="Times New Roman" w:cstheme="majorBidi"/>
      <w:color w:val="0F4761" w:themeColor="accent1" w:themeShade="BF"/>
      <w:sz w:val="32"/>
      <w:szCs w:val="48"/>
    </w:rPr>
  </w:style>
  <w:style w:type="character" w:customStyle="1" w:styleId="30">
    <w:name w:val="标题 3 字符"/>
    <w:basedOn w:val="a0"/>
    <w:link w:val="3"/>
    <w:uiPriority w:val="9"/>
    <w:semiHidden/>
    <w:rsid w:val="001E3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3D2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3D2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E3D2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3D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3D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3D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3D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3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D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3D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D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3D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D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3D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3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3D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E3D2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4539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4539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453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4539F"/>
    <w:rPr>
      <w:sz w:val="18"/>
      <w:szCs w:val="18"/>
    </w:rPr>
  </w:style>
  <w:style w:type="table" w:styleId="af2">
    <w:name w:val="Table Grid"/>
    <w:basedOn w:val="a1"/>
    <w:uiPriority w:val="39"/>
    <w:rsid w:val="00505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217</Words>
  <Characters>1365</Characters>
  <Application>Microsoft Office Word</Application>
  <DocSecurity>0</DocSecurity>
  <Lines>52</Lines>
  <Paragraphs>39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0618 qmy</dc:creator>
  <cp:keywords/>
  <dc:description/>
  <cp:lastModifiedBy>0618 qmy</cp:lastModifiedBy>
  <cp:revision>10</cp:revision>
  <dcterms:created xsi:type="dcterms:W3CDTF">2025-11-04T10:40:00Z</dcterms:created>
  <dcterms:modified xsi:type="dcterms:W3CDTF">2025-11-24T01:55:00Z</dcterms:modified>
</cp:coreProperties>
</file>