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DBEA0D" w14:textId="77777777" w:rsidR="00013026" w:rsidRDefault="00000000">
      <w:pPr>
        <w:jc w:val="center"/>
        <w:rPr>
          <w:rFonts w:ascii="Arial Regular" w:hAnsi="Arial Regular" w:cs="Arial Regular"/>
          <w:b/>
          <w:bCs/>
          <w:sz w:val="32"/>
          <w:szCs w:val="32"/>
        </w:rPr>
      </w:pPr>
      <w:r>
        <w:rPr>
          <w:rFonts w:ascii="Arial Regular" w:hAnsi="Arial Regular" w:cs="Arial Regular"/>
          <w:b/>
          <w:bCs/>
          <w:sz w:val="32"/>
          <w:szCs w:val="32"/>
        </w:rPr>
        <w:t>Supplementary materials</w:t>
      </w:r>
    </w:p>
    <w:p w14:paraId="6EAEECFB" w14:textId="77777777" w:rsidR="00013026" w:rsidRDefault="00013026">
      <w:pPr>
        <w:jc w:val="center"/>
        <w:rPr>
          <w:rFonts w:ascii="Arial Regular" w:hAnsi="Arial Regular" w:cs="Arial Regular"/>
          <w:b/>
          <w:bCs/>
          <w:sz w:val="32"/>
          <w:szCs w:val="32"/>
        </w:rPr>
      </w:pPr>
    </w:p>
    <w:p w14:paraId="74B1280C" w14:textId="77777777" w:rsidR="00013026" w:rsidRDefault="00000000">
      <w:pPr>
        <w:rPr>
          <w:rFonts w:ascii="Arial Regular" w:hAnsi="Arial Regular" w:cs="Arial Regular"/>
          <w:bCs/>
          <w:sz w:val="24"/>
        </w:rPr>
      </w:pPr>
      <w:r>
        <w:rPr>
          <w:rFonts w:ascii="Arial Regular" w:hAnsi="Arial Regular" w:cs="Arial Regular"/>
          <w:b/>
          <w:sz w:val="24"/>
        </w:rPr>
        <w:t>Supplementary Table 1.</w:t>
      </w:r>
      <w:r>
        <w:rPr>
          <w:rFonts w:ascii="Arial Regular" w:hAnsi="Arial Regular" w:cs="Arial Regular"/>
          <w:bCs/>
          <w:sz w:val="24"/>
        </w:rPr>
        <w:t xml:space="preserve"> Study Design of the CRUISE-R Registry (Coronary Revascularization in Patients on Dialysis in China-Retrospective Registry)</w:t>
      </w:r>
    </w:p>
    <w:p w14:paraId="4B5A438D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31"/>
        <w:gridCol w:w="6609"/>
      </w:tblGrid>
      <w:tr w:rsidR="00013026" w14:paraId="67064462" w14:textId="77777777">
        <w:trPr>
          <w:trHeight w:val="620"/>
        </w:trPr>
        <w:tc>
          <w:tcPr>
            <w:tcW w:w="2631" w:type="dxa"/>
            <w:tcBorders>
              <w:top w:val="single" w:sz="4" w:space="0" w:color="auto"/>
              <w:bottom w:val="single" w:sz="4" w:space="0" w:color="auto"/>
            </w:tcBorders>
          </w:tcPr>
          <w:p w14:paraId="60DE6757" w14:textId="77777777" w:rsidR="00013026" w:rsidRDefault="00000000">
            <w:pPr>
              <w:rPr>
                <w:rFonts w:ascii="Arial Regular" w:hAnsi="Arial Regular" w:cs="Arial Regular"/>
                <w:b/>
                <w:sz w:val="24"/>
              </w:rPr>
            </w:pPr>
            <w:r>
              <w:rPr>
                <w:rFonts w:ascii="Arial Regular" w:hAnsi="Arial Regular" w:cs="Arial Regular"/>
                <w:b/>
                <w:sz w:val="24"/>
              </w:rPr>
              <w:t>Category</w:t>
            </w:r>
          </w:p>
        </w:tc>
        <w:tc>
          <w:tcPr>
            <w:tcW w:w="6609" w:type="dxa"/>
            <w:tcBorders>
              <w:top w:val="single" w:sz="4" w:space="0" w:color="auto"/>
              <w:bottom w:val="single" w:sz="4" w:space="0" w:color="auto"/>
            </w:tcBorders>
          </w:tcPr>
          <w:p w14:paraId="4F2F5CC1" w14:textId="77777777" w:rsidR="00013026" w:rsidRDefault="00000000">
            <w:pPr>
              <w:rPr>
                <w:rFonts w:ascii="Arial Regular" w:hAnsi="Arial Regular" w:cs="Arial Regular"/>
                <w:b/>
                <w:sz w:val="24"/>
              </w:rPr>
            </w:pPr>
            <w:r>
              <w:rPr>
                <w:rFonts w:ascii="Arial Regular" w:hAnsi="Arial Regular" w:cs="Arial Regular"/>
                <w:b/>
                <w:sz w:val="24"/>
              </w:rPr>
              <w:t>Key details</w:t>
            </w:r>
          </w:p>
        </w:tc>
      </w:tr>
      <w:tr w:rsidR="00013026" w14:paraId="4D48AA8E" w14:textId="77777777">
        <w:trPr>
          <w:trHeight w:val="620"/>
        </w:trPr>
        <w:tc>
          <w:tcPr>
            <w:tcW w:w="9240" w:type="dxa"/>
            <w:gridSpan w:val="2"/>
            <w:tcBorders>
              <w:top w:val="single" w:sz="4" w:space="0" w:color="auto"/>
            </w:tcBorders>
          </w:tcPr>
          <w:p w14:paraId="767A4F7F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sz w:val="24"/>
              </w:rPr>
              <w:t>Study design</w:t>
            </w:r>
          </w:p>
        </w:tc>
      </w:tr>
      <w:tr w:rsidR="00013026" w14:paraId="332A18EC" w14:textId="77777777">
        <w:trPr>
          <w:trHeight w:val="520"/>
        </w:trPr>
        <w:tc>
          <w:tcPr>
            <w:tcW w:w="2631" w:type="dxa"/>
          </w:tcPr>
          <w:p w14:paraId="77C3E751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>Study type</w:t>
            </w:r>
          </w:p>
        </w:tc>
        <w:tc>
          <w:tcPr>
            <w:tcW w:w="6609" w:type="dxa"/>
          </w:tcPr>
          <w:p w14:paraId="318E178C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>The CRUISE-R registry study was a nationwide, observational, multi-center cohort study.</w:t>
            </w:r>
          </w:p>
        </w:tc>
      </w:tr>
      <w:tr w:rsidR="00013026" w14:paraId="152DC488" w14:textId="77777777">
        <w:trPr>
          <w:trHeight w:val="520"/>
        </w:trPr>
        <w:tc>
          <w:tcPr>
            <w:tcW w:w="2631" w:type="dxa"/>
          </w:tcPr>
          <w:p w14:paraId="710ADF03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>Study period</w:t>
            </w:r>
          </w:p>
        </w:tc>
        <w:tc>
          <w:tcPr>
            <w:tcW w:w="6609" w:type="dxa"/>
          </w:tcPr>
          <w:p w14:paraId="491A68A8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>From January 2015 to June 2021</w:t>
            </w:r>
          </w:p>
        </w:tc>
      </w:tr>
      <w:tr w:rsidR="00013026" w14:paraId="385A41FA" w14:textId="77777777">
        <w:trPr>
          <w:trHeight w:val="520"/>
        </w:trPr>
        <w:tc>
          <w:tcPr>
            <w:tcW w:w="2631" w:type="dxa"/>
          </w:tcPr>
          <w:p w14:paraId="17D96489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>Primary objective</w:t>
            </w:r>
          </w:p>
        </w:tc>
        <w:tc>
          <w:tcPr>
            <w:tcW w:w="6609" w:type="dxa"/>
          </w:tcPr>
          <w:p w14:paraId="09F2880E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>The CRUISE-R registry study aims to identify the clinical characteristics and outcomes of patients undergoing dialysis with coronary artery disease in China.</w:t>
            </w:r>
          </w:p>
        </w:tc>
      </w:tr>
      <w:tr w:rsidR="00013026" w14:paraId="50222C5D" w14:textId="77777777">
        <w:trPr>
          <w:trHeight w:val="536"/>
        </w:trPr>
        <w:tc>
          <w:tcPr>
            <w:tcW w:w="9240" w:type="dxa"/>
            <w:gridSpan w:val="2"/>
          </w:tcPr>
          <w:p w14:paraId="79A1D2D5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sz w:val="24"/>
              </w:rPr>
              <w:t>Participating centers</w:t>
            </w:r>
          </w:p>
        </w:tc>
      </w:tr>
      <w:tr w:rsidR="00013026" w14:paraId="30D92692" w14:textId="77777777">
        <w:trPr>
          <w:trHeight w:val="536"/>
        </w:trPr>
        <w:tc>
          <w:tcPr>
            <w:tcW w:w="2631" w:type="dxa"/>
          </w:tcPr>
          <w:p w14:paraId="4A0CD6B5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>Number of centers</w:t>
            </w:r>
          </w:p>
        </w:tc>
        <w:tc>
          <w:tcPr>
            <w:tcW w:w="6609" w:type="dxa"/>
          </w:tcPr>
          <w:p w14:paraId="6995BF4F" w14:textId="5517B8D0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 w:hint="eastAsia"/>
                <w:bCs/>
                <w:sz w:val="24"/>
              </w:rPr>
              <w:t>T</w:t>
            </w:r>
            <w:r w:rsidRPr="00E76E09">
              <w:rPr>
                <w:rFonts w:ascii="Arial Regular" w:hAnsi="Arial Regular" w:cs="Arial Regular"/>
                <w:bCs/>
                <w:sz w:val="24"/>
              </w:rPr>
              <w:t>hirty</w:t>
            </w:r>
          </w:p>
        </w:tc>
      </w:tr>
      <w:tr w:rsidR="00013026" w14:paraId="65CA7F4C" w14:textId="77777777">
        <w:trPr>
          <w:trHeight w:val="536"/>
        </w:trPr>
        <w:tc>
          <w:tcPr>
            <w:tcW w:w="2631" w:type="dxa"/>
          </w:tcPr>
          <w:p w14:paraId="15A985F5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>Participating centers</w:t>
            </w:r>
          </w:p>
        </w:tc>
        <w:tc>
          <w:tcPr>
            <w:tcW w:w="6609" w:type="dxa"/>
          </w:tcPr>
          <w:p w14:paraId="2384D675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 xml:space="preserve">China-Japan Friendship Hospital; </w:t>
            </w:r>
          </w:p>
          <w:p w14:paraId="3A2400CC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 xml:space="preserve">West China Hospital; </w:t>
            </w:r>
          </w:p>
          <w:p w14:paraId="123F7817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 xml:space="preserve">Tongji Hospital,Tongji Medical College, Huazhong University of Science and Technology. </w:t>
            </w:r>
          </w:p>
          <w:p w14:paraId="27EEC600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 xml:space="preserve">Guangdong Provincial People's Hospital; </w:t>
            </w:r>
          </w:p>
          <w:p w14:paraId="0E2EB7F5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 xml:space="preserve">Beijing Chaoyang Hospital; </w:t>
            </w:r>
          </w:p>
          <w:p w14:paraId="3153F032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 xml:space="preserve">Shengjing Hospital of China Medical University; </w:t>
            </w:r>
          </w:p>
          <w:p w14:paraId="7C327EDC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 xml:space="preserve">Second Hospital of Tianjin Medical University; </w:t>
            </w:r>
          </w:p>
          <w:p w14:paraId="3839AFD0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 xml:space="preserve">Fuwai Central China Cardiovascular Hospital; </w:t>
            </w:r>
          </w:p>
          <w:p w14:paraId="181A9C00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 xml:space="preserve">The First Affiliated Hospital, Zhejiang University School of Medicine; </w:t>
            </w:r>
          </w:p>
          <w:p w14:paraId="4FDF72E2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 xml:space="preserve">The Third People's Hospital of Chengdu; </w:t>
            </w:r>
          </w:p>
          <w:p w14:paraId="4A471B7F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 xml:space="preserve">The People's Hospital of Guangxi Zhuang Autonouous Region; </w:t>
            </w:r>
          </w:p>
          <w:p w14:paraId="24F6B759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 xml:space="preserve">People's Hospital of Xinjiang Uygur Autonomous Region; </w:t>
            </w:r>
          </w:p>
          <w:p w14:paraId="27E48D80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 xml:space="preserve">Emergency General Hospital; </w:t>
            </w:r>
          </w:p>
          <w:p w14:paraId="06153BE0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 xml:space="preserve">Henan Provincial Chest Hospital; </w:t>
            </w:r>
          </w:p>
          <w:p w14:paraId="77A6A1B7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 xml:space="preserve">Zhongnan Hospital of Wuhan University; </w:t>
            </w:r>
          </w:p>
          <w:p w14:paraId="4E96E32A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 xml:space="preserve">Peking university People's hospital; </w:t>
            </w:r>
          </w:p>
          <w:p w14:paraId="0D959B80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 xml:space="preserve">Cangzhou Central Hospital of Tianjin Medical University; </w:t>
            </w:r>
          </w:p>
          <w:p w14:paraId="3F7B3DCA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 xml:space="preserve">Dongguan Tungwah Hospital; </w:t>
            </w:r>
          </w:p>
          <w:p w14:paraId="75FE4260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 xml:space="preserve">Tianjin Medical University General Hospital; </w:t>
            </w:r>
          </w:p>
          <w:p w14:paraId="36454E78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 xml:space="preserve">Ningbo First Hospital; </w:t>
            </w:r>
          </w:p>
          <w:p w14:paraId="1BE01329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lastRenderedPageBreak/>
              <w:t xml:space="preserve">Aerospace Center Hospital; </w:t>
            </w:r>
          </w:p>
          <w:p w14:paraId="7E4BBCE5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 xml:space="preserve">The First Affiliated Hospital of Xinjiang Medical University; </w:t>
            </w:r>
          </w:p>
          <w:p w14:paraId="3A9A9574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 xml:space="preserve">Xuanwu Hospital; </w:t>
            </w:r>
          </w:p>
          <w:p w14:paraId="57644B25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 xml:space="preserve">Civil Aviation General Hospital; </w:t>
            </w:r>
          </w:p>
          <w:p w14:paraId="3DA3B9A3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 xml:space="preserve">Peking University Shougang Hospital; </w:t>
            </w:r>
          </w:p>
          <w:p w14:paraId="4D156AF8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 w:hint="eastAsia"/>
                <w:bCs/>
                <w:sz w:val="24"/>
              </w:rPr>
              <w:t>T</w:t>
            </w:r>
            <w:r>
              <w:rPr>
                <w:rFonts w:ascii="Arial Regular" w:hAnsi="Arial Regular" w:cs="Arial Regular"/>
                <w:bCs/>
                <w:sz w:val="24"/>
              </w:rPr>
              <w:t xml:space="preserve">he First Affiliated Hospital, Harbin Medical University; </w:t>
            </w:r>
          </w:p>
          <w:p w14:paraId="49B5943E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 xml:space="preserve">Fifth Affiliated Hospital of Xinjiang Medical University; </w:t>
            </w:r>
          </w:p>
          <w:p w14:paraId="5604FACB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 xml:space="preserve">First Central Hospital of Tianjin; </w:t>
            </w:r>
          </w:p>
          <w:p w14:paraId="181629A5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 xml:space="preserve">Shaoxing People's Hospital; </w:t>
            </w:r>
          </w:p>
          <w:p w14:paraId="25486800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>Tianjin Union Medicine Center.</w:t>
            </w:r>
          </w:p>
        </w:tc>
      </w:tr>
      <w:tr w:rsidR="00013026" w14:paraId="3905AA16" w14:textId="77777777">
        <w:trPr>
          <w:trHeight w:val="536"/>
        </w:trPr>
        <w:tc>
          <w:tcPr>
            <w:tcW w:w="9240" w:type="dxa"/>
            <w:gridSpan w:val="2"/>
          </w:tcPr>
          <w:p w14:paraId="24826266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sz w:val="24"/>
              </w:rPr>
              <w:t>Study population</w:t>
            </w:r>
          </w:p>
        </w:tc>
      </w:tr>
      <w:tr w:rsidR="00013026" w14:paraId="1FC9312E" w14:textId="77777777">
        <w:trPr>
          <w:trHeight w:val="536"/>
        </w:trPr>
        <w:tc>
          <w:tcPr>
            <w:tcW w:w="2631" w:type="dxa"/>
          </w:tcPr>
          <w:p w14:paraId="295AEF53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>Inclusion criteria</w:t>
            </w:r>
          </w:p>
        </w:tc>
        <w:tc>
          <w:tcPr>
            <w:tcW w:w="6609" w:type="dxa"/>
          </w:tcPr>
          <w:p w14:paraId="209C1B1F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>Patients who underwent coronary angiography.</w:t>
            </w:r>
          </w:p>
        </w:tc>
      </w:tr>
      <w:tr w:rsidR="00013026" w14:paraId="68B5E0F1" w14:textId="77777777">
        <w:trPr>
          <w:trHeight w:val="536"/>
        </w:trPr>
        <w:tc>
          <w:tcPr>
            <w:tcW w:w="2631" w:type="dxa"/>
          </w:tcPr>
          <w:p w14:paraId="04707F0A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>Exclusion criteria</w:t>
            </w:r>
          </w:p>
        </w:tc>
        <w:tc>
          <w:tcPr>
            <w:tcW w:w="6609" w:type="dxa"/>
          </w:tcPr>
          <w:p w14:paraId="6AC6677D" w14:textId="77777777" w:rsidR="00013026" w:rsidRDefault="00000000" w:rsidP="00E76E09">
            <w:pPr>
              <w:numPr>
                <w:ilvl w:val="0"/>
                <w:numId w:val="2"/>
              </w:num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>Not on dialysis therapy (hemodialysis/peritoneal dialysis) or dialysis duration &lt;3 months.</w:t>
            </w:r>
          </w:p>
          <w:p w14:paraId="587D23D7" w14:textId="77777777" w:rsidR="00013026" w:rsidRDefault="00000000" w:rsidP="00E76E09">
            <w:pPr>
              <w:numPr>
                <w:ilvl w:val="0"/>
                <w:numId w:val="2"/>
              </w:num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>Coronary artery stenosis &lt;50%.</w:t>
            </w:r>
          </w:p>
          <w:p w14:paraId="53D4CBA4" w14:textId="77777777" w:rsidR="00013026" w:rsidRDefault="00000000" w:rsidP="00E76E09">
            <w:pPr>
              <w:numPr>
                <w:ilvl w:val="0"/>
                <w:numId w:val="2"/>
              </w:num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>Other indications for coronary angiography (e.g., pre-surgical evaluation, valvular heart disease, kidney transplant evaluation).</w:t>
            </w:r>
          </w:p>
          <w:p w14:paraId="259538EF" w14:textId="77777777" w:rsidR="00013026" w:rsidRDefault="00000000" w:rsidP="00E76E09">
            <w:pPr>
              <w:numPr>
                <w:ilvl w:val="0"/>
                <w:numId w:val="2"/>
              </w:num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>Readmitted patients.</w:t>
            </w:r>
          </w:p>
        </w:tc>
      </w:tr>
      <w:tr w:rsidR="00013026" w14:paraId="71C91DAC" w14:textId="77777777">
        <w:trPr>
          <w:trHeight w:val="536"/>
        </w:trPr>
        <w:tc>
          <w:tcPr>
            <w:tcW w:w="2631" w:type="dxa"/>
            <w:tcBorders>
              <w:bottom w:val="single" w:sz="4" w:space="0" w:color="auto"/>
            </w:tcBorders>
          </w:tcPr>
          <w:p w14:paraId="24837FA1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>Enrollment outcomes</w:t>
            </w:r>
          </w:p>
        </w:tc>
        <w:tc>
          <w:tcPr>
            <w:tcW w:w="6609" w:type="dxa"/>
            <w:tcBorders>
              <w:bottom w:val="single" w:sz="4" w:space="0" w:color="auto"/>
            </w:tcBorders>
          </w:tcPr>
          <w:p w14:paraId="63C4038D" w14:textId="77777777" w:rsidR="00013026" w:rsidRDefault="00000000">
            <w:pPr>
              <w:rPr>
                <w:rFonts w:ascii="Arial Regular" w:hAnsi="Arial Regular" w:cs="Arial Regular"/>
                <w:bCs/>
                <w:sz w:val="24"/>
              </w:rPr>
            </w:pPr>
            <w:r>
              <w:rPr>
                <w:rFonts w:ascii="Arial Regular" w:hAnsi="Arial Regular" w:cs="Arial Regular"/>
                <w:bCs/>
                <w:sz w:val="24"/>
              </w:rPr>
              <w:t xml:space="preserve">Data from 455,617 consecutive cardiac catheterizations between January 2015 and June 2021 at 30 tertiary medical centers across 12 provinces in China were retrospectively reviewed. The CRUISE-R study excluded patients based on the following criteria: those who did not undergo dialysis therapy or received dialysis &lt;3 months (n=453,421), those without ≥ 50% stenosis in any of the 3 main coronary arteries or the left main coronary artery as determined by visual assessment of coronary angiogram (n=328), and those with other indications for coronary angiography, such as surgical interventions, valve disease, and kidney transplant (n=87). For readmitted patients, only data from their initial admission were analyzed, while subsequent readmissions were documented as “readmission” events (n=532). Overall, the CRUISER study enlisted 1,249 dialysis patients suffering from obstructive coronary artery disease. </w:t>
            </w:r>
          </w:p>
        </w:tc>
      </w:tr>
    </w:tbl>
    <w:p w14:paraId="4B844D70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2D9BA891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479E8536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27694DD9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0DDC4086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55A3FB1E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0EE58EB6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17A0834F" w14:textId="77777777" w:rsidR="00013026" w:rsidRDefault="00000000">
      <w:pPr>
        <w:rPr>
          <w:rFonts w:ascii="Arial Regular" w:hAnsi="Arial Regular" w:cs="Arial Regular"/>
          <w:b/>
          <w:bCs/>
          <w:sz w:val="24"/>
        </w:rPr>
      </w:pPr>
      <w:r>
        <w:rPr>
          <w:rFonts w:ascii="Arial Regular" w:hAnsi="Arial Regular" w:cs="Arial Regular"/>
          <w:b/>
          <w:bCs/>
          <w:sz w:val="24"/>
        </w:rPr>
        <w:br w:type="page"/>
      </w:r>
    </w:p>
    <w:p w14:paraId="03DA211B" w14:textId="77777777" w:rsidR="00013026" w:rsidRDefault="00000000">
      <w:pPr>
        <w:rPr>
          <w:rFonts w:ascii="Arial Regular" w:hAnsi="Arial Regular" w:cs="Arial Regular"/>
          <w:sz w:val="24"/>
        </w:rPr>
      </w:pPr>
      <w:r>
        <w:rPr>
          <w:rFonts w:ascii="Arial Regular" w:hAnsi="Arial Regular" w:cs="Arial Regular"/>
          <w:b/>
          <w:bCs/>
          <w:sz w:val="24"/>
        </w:rPr>
        <w:lastRenderedPageBreak/>
        <w:t xml:space="preserve">Supplementary Table 2. </w:t>
      </w:r>
      <w:r>
        <w:rPr>
          <w:rFonts w:ascii="Arial Regular" w:hAnsi="Arial Regular" w:cs="Arial Regular"/>
          <w:sz w:val="24"/>
        </w:rPr>
        <w:t>Association between TyG index/NLR and 3-year all-cause mortality after excluding in-hospital deaths</w:t>
      </w:r>
    </w:p>
    <w:tbl>
      <w:tblPr>
        <w:tblStyle w:val="TableGrid"/>
        <w:tblW w:w="10338" w:type="dxa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54"/>
        <w:gridCol w:w="1745"/>
        <w:gridCol w:w="1070"/>
        <w:gridCol w:w="1744"/>
        <w:gridCol w:w="1057"/>
        <w:gridCol w:w="1711"/>
        <w:gridCol w:w="1057"/>
      </w:tblGrid>
      <w:tr w:rsidR="00013026" w14:paraId="4FD974C2" w14:textId="77777777">
        <w:trPr>
          <w:trHeight w:val="472"/>
          <w:jc w:val="center"/>
        </w:trPr>
        <w:tc>
          <w:tcPr>
            <w:tcW w:w="1989" w:type="dxa"/>
            <w:vMerge w:val="restart"/>
            <w:vAlign w:val="center"/>
          </w:tcPr>
          <w:p w14:paraId="6234AD26" w14:textId="77777777" w:rsidR="00013026" w:rsidRDefault="00000000">
            <w:pPr>
              <w:jc w:val="center"/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sz w:val="24"/>
              </w:rPr>
              <w:t>Variables</w:t>
            </w:r>
          </w:p>
        </w:tc>
        <w:tc>
          <w:tcPr>
            <w:tcW w:w="2857" w:type="dxa"/>
            <w:gridSpan w:val="2"/>
          </w:tcPr>
          <w:p w14:paraId="19E36851" w14:textId="77777777" w:rsidR="00013026" w:rsidRDefault="00000000">
            <w:pPr>
              <w:jc w:val="center"/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sz w:val="24"/>
              </w:rPr>
              <w:t>Unadjusted</w:t>
            </w:r>
          </w:p>
        </w:tc>
        <w:tc>
          <w:tcPr>
            <w:tcW w:w="2763" w:type="dxa"/>
            <w:gridSpan w:val="2"/>
            <w:shd w:val="clear" w:color="auto" w:fill="auto"/>
          </w:tcPr>
          <w:p w14:paraId="4425B947" w14:textId="77777777" w:rsidR="00013026" w:rsidRDefault="00000000">
            <w:pPr>
              <w:jc w:val="center"/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sz w:val="24"/>
              </w:rPr>
              <w:t>Model I</w:t>
            </w:r>
          </w:p>
        </w:tc>
        <w:tc>
          <w:tcPr>
            <w:tcW w:w="2729" w:type="dxa"/>
            <w:gridSpan w:val="2"/>
            <w:shd w:val="clear" w:color="auto" w:fill="auto"/>
          </w:tcPr>
          <w:p w14:paraId="7641A810" w14:textId="77777777" w:rsidR="00013026" w:rsidRDefault="00000000">
            <w:pPr>
              <w:jc w:val="center"/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sz w:val="24"/>
              </w:rPr>
              <w:t>Model II</w:t>
            </w:r>
          </w:p>
        </w:tc>
      </w:tr>
      <w:tr w:rsidR="00013026" w14:paraId="3859A30A" w14:textId="77777777">
        <w:trPr>
          <w:trHeight w:val="445"/>
          <w:jc w:val="center"/>
        </w:trPr>
        <w:tc>
          <w:tcPr>
            <w:tcW w:w="1989" w:type="dxa"/>
            <w:vMerge/>
            <w:tcBorders>
              <w:bottom w:val="single" w:sz="4" w:space="0" w:color="auto"/>
            </w:tcBorders>
          </w:tcPr>
          <w:p w14:paraId="6461158F" w14:textId="77777777" w:rsidR="00013026" w:rsidRDefault="00013026">
            <w:pPr>
              <w:rPr>
                <w:rFonts w:ascii="Arial Regular" w:hAnsi="Arial Regular" w:cs="Arial Regular"/>
                <w:b/>
                <w:bCs/>
                <w:sz w:val="24"/>
              </w:rPr>
            </w:pPr>
          </w:p>
        </w:tc>
        <w:tc>
          <w:tcPr>
            <w:tcW w:w="1786" w:type="dxa"/>
            <w:tcBorders>
              <w:bottom w:val="single" w:sz="4" w:space="0" w:color="auto"/>
            </w:tcBorders>
          </w:tcPr>
          <w:p w14:paraId="7B84FC0B" w14:textId="77777777" w:rsidR="00013026" w:rsidRDefault="00000000">
            <w:pPr>
              <w:jc w:val="center"/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sz w:val="24"/>
              </w:rPr>
              <w:t>HR (95% CI)</w:t>
            </w:r>
          </w:p>
        </w:tc>
        <w:tc>
          <w:tcPr>
            <w:tcW w:w="1071" w:type="dxa"/>
            <w:tcBorders>
              <w:bottom w:val="single" w:sz="4" w:space="0" w:color="auto"/>
            </w:tcBorders>
          </w:tcPr>
          <w:p w14:paraId="37C61DD2" w14:textId="77777777" w:rsidR="00013026" w:rsidRDefault="00000000">
            <w:pPr>
              <w:jc w:val="center"/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i/>
                <w:iCs/>
                <w:sz w:val="24"/>
              </w:rPr>
              <w:t>p</w:t>
            </w:r>
            <w:r>
              <w:rPr>
                <w:rFonts w:ascii="Arial Regular" w:hAnsi="Arial Regular" w:cs="Arial Regular"/>
                <w:b/>
                <w:bCs/>
                <w:sz w:val="24"/>
              </w:rPr>
              <w:t>-value</w:t>
            </w:r>
          </w:p>
        </w:tc>
        <w:tc>
          <w:tcPr>
            <w:tcW w:w="1784" w:type="dxa"/>
            <w:tcBorders>
              <w:bottom w:val="single" w:sz="4" w:space="0" w:color="auto"/>
            </w:tcBorders>
          </w:tcPr>
          <w:p w14:paraId="4672C373" w14:textId="77777777" w:rsidR="00013026" w:rsidRDefault="00000000">
            <w:pPr>
              <w:jc w:val="center"/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sz w:val="24"/>
              </w:rPr>
              <w:t>HR (95% CI)</w:t>
            </w:r>
          </w:p>
        </w:tc>
        <w:tc>
          <w:tcPr>
            <w:tcW w:w="979" w:type="dxa"/>
            <w:tcBorders>
              <w:bottom w:val="single" w:sz="4" w:space="0" w:color="auto"/>
            </w:tcBorders>
          </w:tcPr>
          <w:p w14:paraId="3BC0FB87" w14:textId="77777777" w:rsidR="00013026" w:rsidRDefault="00000000">
            <w:pPr>
              <w:jc w:val="center"/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i/>
                <w:iCs/>
                <w:sz w:val="24"/>
              </w:rPr>
              <w:t>p</w:t>
            </w:r>
            <w:r>
              <w:rPr>
                <w:rFonts w:ascii="Arial Regular" w:hAnsi="Arial Regular" w:cs="Arial Regular"/>
                <w:b/>
                <w:bCs/>
                <w:sz w:val="24"/>
              </w:rPr>
              <w:t>-value</w:t>
            </w:r>
          </w:p>
        </w:tc>
        <w:tc>
          <w:tcPr>
            <w:tcW w:w="1749" w:type="dxa"/>
            <w:tcBorders>
              <w:bottom w:val="single" w:sz="4" w:space="0" w:color="auto"/>
            </w:tcBorders>
          </w:tcPr>
          <w:p w14:paraId="757E4155" w14:textId="77777777" w:rsidR="00013026" w:rsidRDefault="00000000">
            <w:pPr>
              <w:jc w:val="center"/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sz w:val="24"/>
              </w:rPr>
              <w:t>HR (95% CI)</w:t>
            </w:r>
          </w:p>
        </w:tc>
        <w:tc>
          <w:tcPr>
            <w:tcW w:w="980" w:type="dxa"/>
            <w:tcBorders>
              <w:bottom w:val="single" w:sz="4" w:space="0" w:color="auto"/>
            </w:tcBorders>
          </w:tcPr>
          <w:p w14:paraId="079D4B2D" w14:textId="77777777" w:rsidR="00013026" w:rsidRDefault="00000000">
            <w:pPr>
              <w:jc w:val="center"/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i/>
                <w:iCs/>
                <w:sz w:val="24"/>
              </w:rPr>
              <w:t>p</w:t>
            </w:r>
            <w:r>
              <w:rPr>
                <w:rFonts w:ascii="Arial Regular" w:hAnsi="Arial Regular" w:cs="Arial Regular"/>
                <w:b/>
                <w:bCs/>
                <w:sz w:val="24"/>
              </w:rPr>
              <w:t>-value</w:t>
            </w:r>
          </w:p>
        </w:tc>
      </w:tr>
      <w:tr w:rsidR="00013026" w14:paraId="0F3AD654" w14:textId="77777777">
        <w:trPr>
          <w:trHeight w:val="918"/>
          <w:jc w:val="center"/>
        </w:trPr>
        <w:tc>
          <w:tcPr>
            <w:tcW w:w="1989" w:type="dxa"/>
            <w:tcBorders>
              <w:top w:val="single" w:sz="4" w:space="0" w:color="auto"/>
            </w:tcBorders>
            <w:shd w:val="clear" w:color="auto" w:fill="auto"/>
          </w:tcPr>
          <w:p w14:paraId="61D0781E" w14:textId="77777777" w:rsidR="00013026" w:rsidRDefault="00000000">
            <w:pPr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sz w:val="24"/>
              </w:rPr>
              <w:t>TyG, continuous</w:t>
            </w:r>
          </w:p>
        </w:tc>
        <w:tc>
          <w:tcPr>
            <w:tcW w:w="1786" w:type="dxa"/>
            <w:tcBorders>
              <w:top w:val="single" w:sz="4" w:space="0" w:color="auto"/>
            </w:tcBorders>
          </w:tcPr>
          <w:p w14:paraId="159D0DAA" w14:textId="77777777" w:rsidR="00013026" w:rsidRDefault="00000000">
            <w:pPr>
              <w:jc w:val="center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hAnsi="Arial Regular" w:cs="Arial Regular"/>
                <w:sz w:val="24"/>
              </w:rPr>
              <w:t>1.31 (1.11, 1.55)</w:t>
            </w:r>
          </w:p>
        </w:tc>
        <w:tc>
          <w:tcPr>
            <w:tcW w:w="1071" w:type="dxa"/>
            <w:tcBorders>
              <w:top w:val="single" w:sz="4" w:space="0" w:color="auto"/>
            </w:tcBorders>
          </w:tcPr>
          <w:p w14:paraId="4521E26A" w14:textId="77777777" w:rsidR="00013026" w:rsidRDefault="00000000">
            <w:pPr>
              <w:jc w:val="center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hAnsi="Arial Regular" w:cs="Arial Regular"/>
                <w:sz w:val="24"/>
              </w:rPr>
              <w:t>0.002</w:t>
            </w:r>
          </w:p>
        </w:tc>
        <w:tc>
          <w:tcPr>
            <w:tcW w:w="1784" w:type="dxa"/>
            <w:tcBorders>
              <w:top w:val="single" w:sz="4" w:space="0" w:color="auto"/>
            </w:tcBorders>
          </w:tcPr>
          <w:p w14:paraId="3FF7C411" w14:textId="77777777" w:rsidR="00013026" w:rsidRDefault="00000000">
            <w:pPr>
              <w:jc w:val="center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hAnsi="Arial Regular" w:cs="Arial Regular"/>
                <w:sz w:val="24"/>
              </w:rPr>
              <w:t>1.32 (1.12, 1.56)</w:t>
            </w:r>
          </w:p>
        </w:tc>
        <w:tc>
          <w:tcPr>
            <w:tcW w:w="979" w:type="dxa"/>
            <w:tcBorders>
              <w:top w:val="single" w:sz="4" w:space="0" w:color="auto"/>
            </w:tcBorders>
          </w:tcPr>
          <w:p w14:paraId="1F298590" w14:textId="77777777" w:rsidR="00013026" w:rsidRDefault="00000000">
            <w:pPr>
              <w:jc w:val="center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hAnsi="Arial Regular" w:cs="Arial Regular"/>
                <w:sz w:val="24"/>
              </w:rPr>
              <w:t>0.001</w:t>
            </w:r>
          </w:p>
        </w:tc>
        <w:tc>
          <w:tcPr>
            <w:tcW w:w="1749" w:type="dxa"/>
            <w:tcBorders>
              <w:top w:val="single" w:sz="4" w:space="0" w:color="auto"/>
            </w:tcBorders>
          </w:tcPr>
          <w:p w14:paraId="16F5A06F" w14:textId="77777777" w:rsidR="00013026" w:rsidRDefault="00000000">
            <w:pPr>
              <w:jc w:val="center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hAnsi="Arial Regular" w:cs="Arial Regular"/>
                <w:sz w:val="24"/>
              </w:rPr>
              <w:t>1.22 (1.02, 1.46)</w:t>
            </w:r>
          </w:p>
        </w:tc>
        <w:tc>
          <w:tcPr>
            <w:tcW w:w="980" w:type="dxa"/>
            <w:tcBorders>
              <w:top w:val="single" w:sz="4" w:space="0" w:color="auto"/>
            </w:tcBorders>
          </w:tcPr>
          <w:p w14:paraId="681881DC" w14:textId="77777777" w:rsidR="00013026" w:rsidRDefault="00000000">
            <w:pPr>
              <w:jc w:val="center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hAnsi="Arial Regular" w:cs="Arial Regular"/>
                <w:sz w:val="24"/>
              </w:rPr>
              <w:t>0.026</w:t>
            </w:r>
          </w:p>
        </w:tc>
      </w:tr>
      <w:tr w:rsidR="00013026" w14:paraId="27187A85" w14:textId="77777777">
        <w:trPr>
          <w:trHeight w:val="445"/>
          <w:jc w:val="center"/>
        </w:trPr>
        <w:tc>
          <w:tcPr>
            <w:tcW w:w="1989" w:type="dxa"/>
            <w:shd w:val="clear" w:color="auto" w:fill="auto"/>
          </w:tcPr>
          <w:p w14:paraId="5F3CFC3A" w14:textId="77777777" w:rsidR="00013026" w:rsidRDefault="00000000">
            <w:pPr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sz w:val="24"/>
              </w:rPr>
              <w:t>TyG, category</w:t>
            </w:r>
          </w:p>
        </w:tc>
        <w:tc>
          <w:tcPr>
            <w:tcW w:w="1786" w:type="dxa"/>
          </w:tcPr>
          <w:p w14:paraId="41A52140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  <w:tc>
          <w:tcPr>
            <w:tcW w:w="1071" w:type="dxa"/>
          </w:tcPr>
          <w:p w14:paraId="76F96877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  <w:tc>
          <w:tcPr>
            <w:tcW w:w="1784" w:type="dxa"/>
          </w:tcPr>
          <w:p w14:paraId="5929A3BA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  <w:tc>
          <w:tcPr>
            <w:tcW w:w="979" w:type="dxa"/>
          </w:tcPr>
          <w:p w14:paraId="2D7AF236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  <w:tc>
          <w:tcPr>
            <w:tcW w:w="1749" w:type="dxa"/>
          </w:tcPr>
          <w:p w14:paraId="60AABAB6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  <w:tc>
          <w:tcPr>
            <w:tcW w:w="980" w:type="dxa"/>
          </w:tcPr>
          <w:p w14:paraId="10C9C1B2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</w:tr>
      <w:tr w:rsidR="00013026" w14:paraId="47A4F2F4" w14:textId="77777777">
        <w:trPr>
          <w:trHeight w:val="445"/>
          <w:jc w:val="center"/>
        </w:trPr>
        <w:tc>
          <w:tcPr>
            <w:tcW w:w="1989" w:type="dxa"/>
            <w:shd w:val="clear" w:color="auto" w:fill="auto"/>
          </w:tcPr>
          <w:p w14:paraId="71210446" w14:textId="77777777" w:rsidR="00013026" w:rsidRDefault="00000000">
            <w:pPr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sz w:val="24"/>
              </w:rPr>
              <w:t>TyG &lt; 8.981</w:t>
            </w:r>
          </w:p>
        </w:tc>
        <w:tc>
          <w:tcPr>
            <w:tcW w:w="1786" w:type="dxa"/>
          </w:tcPr>
          <w:p w14:paraId="1AADE7F8" w14:textId="77777777" w:rsidR="00013026" w:rsidRDefault="00000000">
            <w:pPr>
              <w:jc w:val="center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hAnsi="Arial Regular" w:cs="Arial Regular"/>
                <w:sz w:val="24"/>
              </w:rPr>
              <w:t>reference</w:t>
            </w:r>
          </w:p>
        </w:tc>
        <w:tc>
          <w:tcPr>
            <w:tcW w:w="1071" w:type="dxa"/>
          </w:tcPr>
          <w:p w14:paraId="1CA8D65C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  <w:tc>
          <w:tcPr>
            <w:tcW w:w="1784" w:type="dxa"/>
          </w:tcPr>
          <w:p w14:paraId="143442EB" w14:textId="77777777" w:rsidR="00013026" w:rsidRDefault="00000000">
            <w:pPr>
              <w:jc w:val="center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hAnsi="Arial Regular" w:cs="Arial Regular"/>
                <w:sz w:val="24"/>
              </w:rPr>
              <w:t>reference</w:t>
            </w:r>
          </w:p>
        </w:tc>
        <w:tc>
          <w:tcPr>
            <w:tcW w:w="979" w:type="dxa"/>
          </w:tcPr>
          <w:p w14:paraId="33F7ED64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  <w:tc>
          <w:tcPr>
            <w:tcW w:w="1749" w:type="dxa"/>
          </w:tcPr>
          <w:p w14:paraId="495ADBC3" w14:textId="77777777" w:rsidR="00013026" w:rsidRDefault="00000000">
            <w:pPr>
              <w:jc w:val="center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hAnsi="Arial Regular" w:cs="Arial Regular"/>
                <w:sz w:val="24"/>
              </w:rPr>
              <w:t>reference</w:t>
            </w:r>
          </w:p>
        </w:tc>
        <w:tc>
          <w:tcPr>
            <w:tcW w:w="980" w:type="dxa"/>
          </w:tcPr>
          <w:p w14:paraId="3DAD97CA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</w:tr>
      <w:tr w:rsidR="00013026" w14:paraId="598A27F5" w14:textId="77777777">
        <w:trPr>
          <w:trHeight w:val="892"/>
          <w:jc w:val="center"/>
        </w:trPr>
        <w:tc>
          <w:tcPr>
            <w:tcW w:w="1989" w:type="dxa"/>
            <w:tcBorders>
              <w:bottom w:val="single" w:sz="4" w:space="0" w:color="auto"/>
            </w:tcBorders>
            <w:shd w:val="clear" w:color="auto" w:fill="auto"/>
          </w:tcPr>
          <w:p w14:paraId="1E095AED" w14:textId="77777777" w:rsidR="00013026" w:rsidRDefault="00000000">
            <w:pPr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sz w:val="24"/>
              </w:rPr>
              <w:t>TyG ≥ 8.981</w:t>
            </w:r>
          </w:p>
        </w:tc>
        <w:tc>
          <w:tcPr>
            <w:tcW w:w="1786" w:type="dxa"/>
            <w:tcBorders>
              <w:bottom w:val="single" w:sz="4" w:space="0" w:color="auto"/>
            </w:tcBorders>
          </w:tcPr>
          <w:p w14:paraId="67F1F93B" w14:textId="77777777" w:rsidR="00013026" w:rsidRDefault="00000000">
            <w:pPr>
              <w:jc w:val="center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hAnsi="Arial Regular" w:cs="Arial Regular"/>
                <w:sz w:val="24"/>
              </w:rPr>
              <w:t>1.68 (1.28, 2.19)</w:t>
            </w:r>
          </w:p>
        </w:tc>
        <w:tc>
          <w:tcPr>
            <w:tcW w:w="1071" w:type="dxa"/>
            <w:tcBorders>
              <w:bottom w:val="single" w:sz="4" w:space="0" w:color="auto"/>
            </w:tcBorders>
          </w:tcPr>
          <w:p w14:paraId="48F3430B" w14:textId="77777777" w:rsidR="00013026" w:rsidRDefault="00000000">
            <w:pPr>
              <w:jc w:val="center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hAnsi="Arial Regular" w:cs="Arial Regular"/>
                <w:sz w:val="24"/>
              </w:rPr>
              <w:t>&lt;0.001</w:t>
            </w:r>
          </w:p>
        </w:tc>
        <w:tc>
          <w:tcPr>
            <w:tcW w:w="1784" w:type="dxa"/>
            <w:tcBorders>
              <w:bottom w:val="single" w:sz="4" w:space="0" w:color="auto"/>
            </w:tcBorders>
          </w:tcPr>
          <w:p w14:paraId="375FEB71" w14:textId="77777777" w:rsidR="00013026" w:rsidRDefault="00000000">
            <w:pPr>
              <w:jc w:val="center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hAnsi="Arial Regular" w:cs="Arial Regular"/>
                <w:sz w:val="24"/>
              </w:rPr>
              <w:t>1.69 (1.29, 2.21)</w:t>
            </w:r>
          </w:p>
        </w:tc>
        <w:tc>
          <w:tcPr>
            <w:tcW w:w="979" w:type="dxa"/>
            <w:tcBorders>
              <w:bottom w:val="single" w:sz="4" w:space="0" w:color="auto"/>
            </w:tcBorders>
          </w:tcPr>
          <w:p w14:paraId="75D81DD9" w14:textId="77777777" w:rsidR="00013026" w:rsidRDefault="00000000">
            <w:pPr>
              <w:jc w:val="center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hAnsi="Arial Regular" w:cs="Arial Regular"/>
                <w:sz w:val="24"/>
              </w:rPr>
              <w:t>&lt;0.001</w:t>
            </w:r>
          </w:p>
        </w:tc>
        <w:tc>
          <w:tcPr>
            <w:tcW w:w="1749" w:type="dxa"/>
            <w:tcBorders>
              <w:bottom w:val="single" w:sz="4" w:space="0" w:color="auto"/>
            </w:tcBorders>
          </w:tcPr>
          <w:p w14:paraId="7EFDF8D3" w14:textId="77777777" w:rsidR="00013026" w:rsidRDefault="00000000">
            <w:pPr>
              <w:jc w:val="center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hAnsi="Arial Regular" w:cs="Arial Regular"/>
                <w:sz w:val="24"/>
              </w:rPr>
              <w:t>1.10 (0.78, 1.56)</w:t>
            </w:r>
          </w:p>
        </w:tc>
        <w:tc>
          <w:tcPr>
            <w:tcW w:w="980" w:type="dxa"/>
            <w:tcBorders>
              <w:bottom w:val="single" w:sz="4" w:space="0" w:color="auto"/>
            </w:tcBorders>
          </w:tcPr>
          <w:p w14:paraId="703FC58A" w14:textId="77777777" w:rsidR="00013026" w:rsidRDefault="00000000">
            <w:pPr>
              <w:jc w:val="center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hAnsi="Arial Regular" w:cs="Arial Regular"/>
                <w:sz w:val="24"/>
              </w:rPr>
              <w:t>0.001</w:t>
            </w:r>
          </w:p>
        </w:tc>
      </w:tr>
      <w:tr w:rsidR="00013026" w14:paraId="5A740F59" w14:textId="77777777">
        <w:trPr>
          <w:trHeight w:val="892"/>
          <w:jc w:val="center"/>
        </w:trPr>
        <w:tc>
          <w:tcPr>
            <w:tcW w:w="1989" w:type="dxa"/>
            <w:tcBorders>
              <w:top w:val="single" w:sz="4" w:space="0" w:color="auto"/>
            </w:tcBorders>
            <w:shd w:val="clear" w:color="auto" w:fill="auto"/>
          </w:tcPr>
          <w:p w14:paraId="242BC057" w14:textId="77777777" w:rsidR="00013026" w:rsidRDefault="00000000">
            <w:pPr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sz w:val="24"/>
              </w:rPr>
              <w:t>NLR, continuous</w:t>
            </w:r>
          </w:p>
        </w:tc>
        <w:tc>
          <w:tcPr>
            <w:tcW w:w="1786" w:type="dxa"/>
            <w:tcBorders>
              <w:top w:val="single" w:sz="4" w:space="0" w:color="auto"/>
            </w:tcBorders>
          </w:tcPr>
          <w:p w14:paraId="3D7E9762" w14:textId="77777777" w:rsidR="00013026" w:rsidRDefault="00000000">
            <w:pPr>
              <w:jc w:val="center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hAnsi="Arial Regular" w:cs="Arial Regular"/>
                <w:sz w:val="24"/>
              </w:rPr>
              <w:t>1.03 (1.01, 1.05)</w:t>
            </w:r>
          </w:p>
        </w:tc>
        <w:tc>
          <w:tcPr>
            <w:tcW w:w="1071" w:type="dxa"/>
            <w:tcBorders>
              <w:top w:val="single" w:sz="4" w:space="0" w:color="auto"/>
            </w:tcBorders>
          </w:tcPr>
          <w:p w14:paraId="3C8252E8" w14:textId="77777777" w:rsidR="00013026" w:rsidRDefault="00000000">
            <w:pPr>
              <w:jc w:val="center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hAnsi="Arial Regular" w:cs="Arial Regular"/>
                <w:sz w:val="24"/>
              </w:rPr>
              <w:t>0.010</w:t>
            </w:r>
          </w:p>
        </w:tc>
        <w:tc>
          <w:tcPr>
            <w:tcW w:w="1784" w:type="dxa"/>
            <w:tcBorders>
              <w:top w:val="single" w:sz="4" w:space="0" w:color="auto"/>
            </w:tcBorders>
          </w:tcPr>
          <w:p w14:paraId="6EB372FB" w14:textId="77777777" w:rsidR="00013026" w:rsidRDefault="00000000">
            <w:pPr>
              <w:jc w:val="center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hAnsi="Arial Regular" w:cs="Arial Regular"/>
                <w:sz w:val="24"/>
              </w:rPr>
              <w:t>1.02 (1.00, 1.04)</w:t>
            </w:r>
          </w:p>
        </w:tc>
        <w:tc>
          <w:tcPr>
            <w:tcW w:w="979" w:type="dxa"/>
            <w:tcBorders>
              <w:top w:val="single" w:sz="4" w:space="0" w:color="auto"/>
            </w:tcBorders>
          </w:tcPr>
          <w:p w14:paraId="754F0C2E" w14:textId="77777777" w:rsidR="00013026" w:rsidRDefault="00000000">
            <w:pPr>
              <w:jc w:val="center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hAnsi="Arial Regular" w:cs="Arial Regular"/>
                <w:sz w:val="24"/>
              </w:rPr>
              <w:t>0.015</w:t>
            </w:r>
          </w:p>
        </w:tc>
        <w:tc>
          <w:tcPr>
            <w:tcW w:w="1749" w:type="dxa"/>
            <w:tcBorders>
              <w:top w:val="single" w:sz="4" w:space="0" w:color="auto"/>
            </w:tcBorders>
          </w:tcPr>
          <w:p w14:paraId="74932A6F" w14:textId="77777777" w:rsidR="00013026" w:rsidRDefault="00000000">
            <w:pPr>
              <w:jc w:val="center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hAnsi="Arial Regular" w:cs="Arial Regular"/>
                <w:sz w:val="24"/>
              </w:rPr>
              <w:t>1.02 (1.00, 1.05)</w:t>
            </w:r>
          </w:p>
        </w:tc>
        <w:tc>
          <w:tcPr>
            <w:tcW w:w="980" w:type="dxa"/>
            <w:tcBorders>
              <w:top w:val="single" w:sz="4" w:space="0" w:color="auto"/>
            </w:tcBorders>
          </w:tcPr>
          <w:p w14:paraId="4CCFC98D" w14:textId="77777777" w:rsidR="00013026" w:rsidRDefault="00000000">
            <w:pPr>
              <w:jc w:val="center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hAnsi="Arial Regular" w:cs="Arial Regular"/>
                <w:sz w:val="24"/>
              </w:rPr>
              <w:t>0.029</w:t>
            </w:r>
          </w:p>
        </w:tc>
      </w:tr>
      <w:tr w:rsidR="00013026" w14:paraId="6D304106" w14:textId="77777777">
        <w:trPr>
          <w:trHeight w:val="445"/>
          <w:jc w:val="center"/>
        </w:trPr>
        <w:tc>
          <w:tcPr>
            <w:tcW w:w="1989" w:type="dxa"/>
            <w:shd w:val="clear" w:color="auto" w:fill="auto"/>
          </w:tcPr>
          <w:p w14:paraId="317D9D1A" w14:textId="77777777" w:rsidR="00013026" w:rsidRDefault="00000000">
            <w:pPr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sz w:val="24"/>
              </w:rPr>
              <w:t>NLR, category</w:t>
            </w:r>
          </w:p>
        </w:tc>
        <w:tc>
          <w:tcPr>
            <w:tcW w:w="1786" w:type="dxa"/>
          </w:tcPr>
          <w:p w14:paraId="3B00CB22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  <w:tc>
          <w:tcPr>
            <w:tcW w:w="1071" w:type="dxa"/>
          </w:tcPr>
          <w:p w14:paraId="287DA547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  <w:tc>
          <w:tcPr>
            <w:tcW w:w="1784" w:type="dxa"/>
          </w:tcPr>
          <w:p w14:paraId="773A6B08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  <w:tc>
          <w:tcPr>
            <w:tcW w:w="979" w:type="dxa"/>
          </w:tcPr>
          <w:p w14:paraId="172914BC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  <w:tc>
          <w:tcPr>
            <w:tcW w:w="1749" w:type="dxa"/>
          </w:tcPr>
          <w:p w14:paraId="1E0D2978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  <w:tc>
          <w:tcPr>
            <w:tcW w:w="980" w:type="dxa"/>
          </w:tcPr>
          <w:p w14:paraId="79FCAAC5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</w:tr>
      <w:tr w:rsidR="00013026" w14:paraId="22550580" w14:textId="77777777">
        <w:trPr>
          <w:trHeight w:val="445"/>
          <w:jc w:val="center"/>
        </w:trPr>
        <w:tc>
          <w:tcPr>
            <w:tcW w:w="1989" w:type="dxa"/>
            <w:shd w:val="clear" w:color="auto" w:fill="auto"/>
          </w:tcPr>
          <w:p w14:paraId="6F3B6DF3" w14:textId="77777777" w:rsidR="00013026" w:rsidRDefault="00000000">
            <w:pPr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sz w:val="24"/>
              </w:rPr>
              <w:t>NLR &lt; 4.941</w:t>
            </w:r>
          </w:p>
        </w:tc>
        <w:tc>
          <w:tcPr>
            <w:tcW w:w="1786" w:type="dxa"/>
          </w:tcPr>
          <w:p w14:paraId="55F5FD56" w14:textId="77777777" w:rsidR="00013026" w:rsidRDefault="00000000">
            <w:pPr>
              <w:jc w:val="center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hAnsi="Arial Regular" w:cs="Arial Regular"/>
                <w:sz w:val="24"/>
              </w:rPr>
              <w:t>reference</w:t>
            </w:r>
          </w:p>
        </w:tc>
        <w:tc>
          <w:tcPr>
            <w:tcW w:w="1071" w:type="dxa"/>
          </w:tcPr>
          <w:p w14:paraId="5904A209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  <w:tc>
          <w:tcPr>
            <w:tcW w:w="1784" w:type="dxa"/>
          </w:tcPr>
          <w:p w14:paraId="21C90C49" w14:textId="77777777" w:rsidR="00013026" w:rsidRDefault="00000000">
            <w:pPr>
              <w:jc w:val="center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hAnsi="Arial Regular" w:cs="Arial Regular"/>
                <w:sz w:val="24"/>
              </w:rPr>
              <w:t>reference</w:t>
            </w:r>
          </w:p>
        </w:tc>
        <w:tc>
          <w:tcPr>
            <w:tcW w:w="979" w:type="dxa"/>
          </w:tcPr>
          <w:p w14:paraId="38E91E44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  <w:tc>
          <w:tcPr>
            <w:tcW w:w="1749" w:type="dxa"/>
          </w:tcPr>
          <w:p w14:paraId="623AF70F" w14:textId="77777777" w:rsidR="00013026" w:rsidRDefault="00000000">
            <w:pPr>
              <w:jc w:val="center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hAnsi="Arial Regular" w:cs="Arial Regular"/>
                <w:sz w:val="24"/>
              </w:rPr>
              <w:t>reference</w:t>
            </w:r>
          </w:p>
        </w:tc>
        <w:tc>
          <w:tcPr>
            <w:tcW w:w="980" w:type="dxa"/>
          </w:tcPr>
          <w:p w14:paraId="0B24EAEC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</w:tr>
      <w:tr w:rsidR="00013026" w14:paraId="1B1F2463" w14:textId="77777777">
        <w:trPr>
          <w:trHeight w:val="918"/>
          <w:jc w:val="center"/>
        </w:trPr>
        <w:tc>
          <w:tcPr>
            <w:tcW w:w="1989" w:type="dxa"/>
            <w:shd w:val="clear" w:color="auto" w:fill="auto"/>
          </w:tcPr>
          <w:p w14:paraId="32C0C7F5" w14:textId="77777777" w:rsidR="00013026" w:rsidRDefault="00000000">
            <w:pPr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sz w:val="24"/>
              </w:rPr>
              <w:t>NLR≥4.941</w:t>
            </w:r>
          </w:p>
        </w:tc>
        <w:tc>
          <w:tcPr>
            <w:tcW w:w="1786" w:type="dxa"/>
          </w:tcPr>
          <w:p w14:paraId="28C3CE48" w14:textId="77777777" w:rsidR="00013026" w:rsidRDefault="00000000">
            <w:pPr>
              <w:jc w:val="center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hAnsi="Arial Regular" w:cs="Arial Regular"/>
                <w:sz w:val="24"/>
              </w:rPr>
              <w:t>1.77 (1.37, 2.30)</w:t>
            </w:r>
          </w:p>
        </w:tc>
        <w:tc>
          <w:tcPr>
            <w:tcW w:w="1071" w:type="dxa"/>
          </w:tcPr>
          <w:p w14:paraId="7ACD768C" w14:textId="77777777" w:rsidR="00013026" w:rsidRDefault="00000000">
            <w:pPr>
              <w:jc w:val="center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hAnsi="Arial Regular" w:cs="Arial Regular"/>
                <w:sz w:val="24"/>
              </w:rPr>
              <w:t>&lt;0.001</w:t>
            </w:r>
          </w:p>
        </w:tc>
        <w:tc>
          <w:tcPr>
            <w:tcW w:w="1784" w:type="dxa"/>
          </w:tcPr>
          <w:p w14:paraId="3749C342" w14:textId="77777777" w:rsidR="00013026" w:rsidRDefault="00000000">
            <w:pPr>
              <w:jc w:val="center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hAnsi="Arial Regular" w:cs="Arial Regular"/>
                <w:sz w:val="24"/>
              </w:rPr>
              <w:t>1.79 (1.38, 2.32)</w:t>
            </w:r>
          </w:p>
        </w:tc>
        <w:tc>
          <w:tcPr>
            <w:tcW w:w="979" w:type="dxa"/>
          </w:tcPr>
          <w:p w14:paraId="23D4921F" w14:textId="77777777" w:rsidR="00013026" w:rsidRDefault="00000000">
            <w:pPr>
              <w:jc w:val="center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hAnsi="Arial Regular" w:cs="Arial Regular"/>
                <w:sz w:val="24"/>
              </w:rPr>
              <w:t>&lt;0.001</w:t>
            </w:r>
          </w:p>
        </w:tc>
        <w:tc>
          <w:tcPr>
            <w:tcW w:w="1749" w:type="dxa"/>
          </w:tcPr>
          <w:p w14:paraId="2CF66C41" w14:textId="77777777" w:rsidR="00013026" w:rsidRDefault="00000000">
            <w:pPr>
              <w:jc w:val="center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hAnsi="Arial Regular" w:cs="Arial Regular"/>
                <w:sz w:val="24"/>
              </w:rPr>
              <w:t>1.55 (1.18, 2.04)</w:t>
            </w:r>
          </w:p>
        </w:tc>
        <w:tc>
          <w:tcPr>
            <w:tcW w:w="980" w:type="dxa"/>
          </w:tcPr>
          <w:p w14:paraId="04A3CDE9" w14:textId="77777777" w:rsidR="00013026" w:rsidRDefault="00000000">
            <w:pPr>
              <w:jc w:val="center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hAnsi="Arial Regular" w:cs="Arial Regular"/>
                <w:sz w:val="24"/>
              </w:rPr>
              <w:t>0.002</w:t>
            </w:r>
          </w:p>
        </w:tc>
      </w:tr>
    </w:tbl>
    <w:p w14:paraId="14C39B0C" w14:textId="77777777" w:rsidR="00013026" w:rsidRDefault="00000000">
      <w:pPr>
        <w:jc w:val="left"/>
        <w:rPr>
          <w:rFonts w:ascii="Arial Regular" w:hAnsi="Arial Regular" w:cs="Arial Regular"/>
          <w:sz w:val="24"/>
        </w:rPr>
      </w:pPr>
      <w:r>
        <w:rPr>
          <w:rFonts w:ascii="Arial Regular" w:hAnsi="Arial Regular" w:cs="Arial Regular"/>
          <w:sz w:val="24"/>
        </w:rPr>
        <w:t>Model I: adjusted for age and sex.</w:t>
      </w:r>
    </w:p>
    <w:p w14:paraId="2F1FCDDD" w14:textId="77777777" w:rsidR="00013026" w:rsidRDefault="00000000">
      <w:pPr>
        <w:jc w:val="left"/>
        <w:rPr>
          <w:rFonts w:ascii="Arial Regular" w:hAnsi="Arial Regular" w:cs="Arial Regular"/>
          <w:sz w:val="24"/>
        </w:rPr>
      </w:pPr>
      <w:r>
        <w:rPr>
          <w:rFonts w:ascii="Arial Regular" w:hAnsi="Arial Regular" w:cs="Arial Regular"/>
          <w:sz w:val="24"/>
        </w:rPr>
        <w:t>Model II: further adjusted for manifestations of coronary heart disease, hypertension, diabetes, atrial fibrillation, cerebrovascular disease, admission treatment method, left main coronary disease, three-vessel disease, systolic blood pressure, diastolic blood pressure, heart rate, current smoking and medications including ACEI/ARB, beta-blocker, statin, dual anti-platelet.</w:t>
      </w:r>
    </w:p>
    <w:p w14:paraId="72295B18" w14:textId="77777777" w:rsidR="00013026" w:rsidRDefault="00000000">
      <w:pPr>
        <w:jc w:val="left"/>
        <w:rPr>
          <w:rFonts w:ascii="Arial Regular" w:hAnsi="Arial Regular" w:cs="Arial Regular"/>
          <w:sz w:val="24"/>
        </w:rPr>
      </w:pPr>
      <w:r>
        <w:rPr>
          <w:rFonts w:ascii="Arial Regular" w:hAnsi="Arial Regular" w:cs="Arial Regular"/>
          <w:sz w:val="24"/>
        </w:rPr>
        <w:t>HR, hazard ratio; CI, confidence interval; TyG, triglyceride-glucose index; NLR, neutrophil-lymphocyte ratio.</w:t>
      </w:r>
    </w:p>
    <w:p w14:paraId="37989052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72E56324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6519559C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17F6337E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5B2218E0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46213ABE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03D75E0C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783FAFB9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3E454358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0235599E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53BBC349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653FACE6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56D8DB2E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585D5591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0FA87E0F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4DF8CBE2" w14:textId="77777777" w:rsidR="00013026" w:rsidRDefault="00000000">
      <w:pPr>
        <w:rPr>
          <w:rFonts w:ascii="Arial Regular" w:hAnsi="Arial Regular" w:cs="Arial Regular"/>
          <w:b/>
          <w:bCs/>
          <w:sz w:val="24"/>
        </w:rPr>
      </w:pPr>
      <w:r>
        <w:rPr>
          <w:rFonts w:ascii="Arial Regular" w:hAnsi="Arial Regular" w:cs="Arial Regular"/>
          <w:b/>
          <w:bCs/>
          <w:sz w:val="24"/>
        </w:rPr>
        <w:t>Supplementary Table 3.</w:t>
      </w:r>
      <w:r>
        <w:rPr>
          <w:rFonts w:ascii="Arial Regular" w:hAnsi="Arial Regular" w:cs="Arial Regular"/>
          <w:sz w:val="24"/>
        </w:rPr>
        <w:t xml:space="preserve"> Association between TyG index/NLR and 3-year all-cause mortality after excluding patients with hypoglycemia, leukopenia, and lymphocytopenia</w:t>
      </w:r>
    </w:p>
    <w:tbl>
      <w:tblPr>
        <w:tblStyle w:val="TableGrid"/>
        <w:tblpPr w:leftFromText="180" w:rightFromText="180" w:vertAnchor="text" w:horzAnchor="page" w:tblpX="762" w:tblpY="290"/>
        <w:tblOverlap w:val="never"/>
        <w:tblW w:w="10579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10"/>
        <w:gridCol w:w="1800"/>
        <w:gridCol w:w="1093"/>
        <w:gridCol w:w="1798"/>
        <w:gridCol w:w="1057"/>
        <w:gridCol w:w="1764"/>
        <w:gridCol w:w="1057"/>
      </w:tblGrid>
      <w:tr w:rsidR="00013026" w14:paraId="1F9353BF" w14:textId="77777777">
        <w:trPr>
          <w:trHeight w:val="477"/>
        </w:trPr>
        <w:tc>
          <w:tcPr>
            <w:tcW w:w="2036" w:type="dxa"/>
            <w:vMerge w:val="restart"/>
            <w:vAlign w:val="center"/>
          </w:tcPr>
          <w:p w14:paraId="5CB26D0C" w14:textId="77777777" w:rsidR="00013026" w:rsidRDefault="00000000">
            <w:pPr>
              <w:jc w:val="center"/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sz w:val="24"/>
              </w:rPr>
              <w:t>Variables</w:t>
            </w:r>
          </w:p>
        </w:tc>
        <w:tc>
          <w:tcPr>
            <w:tcW w:w="2924" w:type="dxa"/>
            <w:gridSpan w:val="2"/>
          </w:tcPr>
          <w:p w14:paraId="440E5E4B" w14:textId="77777777" w:rsidR="00013026" w:rsidRDefault="00000000">
            <w:pPr>
              <w:jc w:val="center"/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sz w:val="24"/>
              </w:rPr>
              <w:t>Unadjusted</w:t>
            </w:r>
          </w:p>
        </w:tc>
        <w:tc>
          <w:tcPr>
            <w:tcW w:w="2827" w:type="dxa"/>
            <w:gridSpan w:val="2"/>
            <w:shd w:val="clear" w:color="auto" w:fill="auto"/>
          </w:tcPr>
          <w:p w14:paraId="76444387" w14:textId="77777777" w:rsidR="00013026" w:rsidRDefault="00000000">
            <w:pPr>
              <w:jc w:val="center"/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sz w:val="24"/>
              </w:rPr>
              <w:t>Model I</w:t>
            </w:r>
          </w:p>
        </w:tc>
        <w:tc>
          <w:tcPr>
            <w:tcW w:w="2792" w:type="dxa"/>
            <w:gridSpan w:val="2"/>
            <w:shd w:val="clear" w:color="auto" w:fill="auto"/>
          </w:tcPr>
          <w:p w14:paraId="33DF7B8B" w14:textId="77777777" w:rsidR="00013026" w:rsidRDefault="00000000">
            <w:pPr>
              <w:jc w:val="center"/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sz w:val="24"/>
              </w:rPr>
              <w:t>Model II</w:t>
            </w:r>
          </w:p>
        </w:tc>
      </w:tr>
      <w:tr w:rsidR="00013026" w14:paraId="1752645F" w14:textId="77777777">
        <w:trPr>
          <w:trHeight w:val="450"/>
        </w:trPr>
        <w:tc>
          <w:tcPr>
            <w:tcW w:w="2036" w:type="dxa"/>
            <w:vMerge/>
            <w:tcBorders>
              <w:bottom w:val="single" w:sz="4" w:space="0" w:color="auto"/>
            </w:tcBorders>
          </w:tcPr>
          <w:p w14:paraId="72008E77" w14:textId="77777777" w:rsidR="00013026" w:rsidRDefault="00013026">
            <w:pPr>
              <w:rPr>
                <w:rFonts w:ascii="Arial Regular" w:hAnsi="Arial Regular" w:cs="Arial Regular"/>
                <w:b/>
                <w:bCs/>
                <w:sz w:val="24"/>
              </w:rPr>
            </w:pPr>
          </w:p>
        </w:tc>
        <w:tc>
          <w:tcPr>
            <w:tcW w:w="1829" w:type="dxa"/>
            <w:tcBorders>
              <w:bottom w:val="single" w:sz="4" w:space="0" w:color="auto"/>
            </w:tcBorders>
          </w:tcPr>
          <w:p w14:paraId="1A666165" w14:textId="77777777" w:rsidR="00013026" w:rsidRDefault="00000000">
            <w:pPr>
              <w:jc w:val="center"/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sz w:val="24"/>
              </w:rPr>
              <w:t>HR (95% CI)</w:t>
            </w:r>
          </w:p>
        </w:tc>
        <w:tc>
          <w:tcPr>
            <w:tcW w:w="1095" w:type="dxa"/>
            <w:tcBorders>
              <w:bottom w:val="single" w:sz="4" w:space="0" w:color="auto"/>
            </w:tcBorders>
          </w:tcPr>
          <w:p w14:paraId="64B32466" w14:textId="77777777" w:rsidR="00013026" w:rsidRDefault="00000000">
            <w:pPr>
              <w:jc w:val="center"/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i/>
                <w:iCs/>
                <w:sz w:val="24"/>
              </w:rPr>
              <w:t>p</w:t>
            </w:r>
            <w:r>
              <w:rPr>
                <w:rFonts w:ascii="Arial Regular" w:hAnsi="Arial Regular" w:cs="Arial Regular"/>
                <w:b/>
                <w:bCs/>
                <w:sz w:val="24"/>
              </w:rPr>
              <w:t>-value</w:t>
            </w:r>
          </w:p>
        </w:tc>
        <w:tc>
          <w:tcPr>
            <w:tcW w:w="1827" w:type="dxa"/>
            <w:tcBorders>
              <w:bottom w:val="single" w:sz="4" w:space="0" w:color="auto"/>
            </w:tcBorders>
          </w:tcPr>
          <w:p w14:paraId="47884C8C" w14:textId="77777777" w:rsidR="00013026" w:rsidRDefault="00000000">
            <w:pPr>
              <w:jc w:val="center"/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sz w:val="24"/>
              </w:rPr>
              <w:t>HR (95% CI)</w:t>
            </w:r>
          </w:p>
        </w:tc>
        <w:tc>
          <w:tcPr>
            <w:tcW w:w="1000" w:type="dxa"/>
            <w:tcBorders>
              <w:bottom w:val="single" w:sz="4" w:space="0" w:color="auto"/>
            </w:tcBorders>
          </w:tcPr>
          <w:p w14:paraId="52ED7B7D" w14:textId="77777777" w:rsidR="00013026" w:rsidRDefault="00000000">
            <w:pPr>
              <w:jc w:val="center"/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i/>
                <w:iCs/>
                <w:sz w:val="24"/>
              </w:rPr>
              <w:t>p</w:t>
            </w:r>
            <w:r>
              <w:rPr>
                <w:rFonts w:ascii="Arial Regular" w:hAnsi="Arial Regular" w:cs="Arial Regular"/>
                <w:b/>
                <w:bCs/>
                <w:sz w:val="24"/>
              </w:rPr>
              <w:t>-value</w:t>
            </w:r>
          </w:p>
        </w:tc>
        <w:tc>
          <w:tcPr>
            <w:tcW w:w="1791" w:type="dxa"/>
            <w:tcBorders>
              <w:bottom w:val="single" w:sz="4" w:space="0" w:color="auto"/>
            </w:tcBorders>
          </w:tcPr>
          <w:p w14:paraId="7BA74213" w14:textId="77777777" w:rsidR="00013026" w:rsidRDefault="00000000">
            <w:pPr>
              <w:jc w:val="center"/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sz w:val="24"/>
              </w:rPr>
              <w:t>HR (95% CI)</w:t>
            </w:r>
          </w:p>
        </w:tc>
        <w:tc>
          <w:tcPr>
            <w:tcW w:w="1001" w:type="dxa"/>
            <w:tcBorders>
              <w:bottom w:val="single" w:sz="4" w:space="0" w:color="auto"/>
            </w:tcBorders>
          </w:tcPr>
          <w:p w14:paraId="5A9EC0AC" w14:textId="77777777" w:rsidR="00013026" w:rsidRDefault="00000000">
            <w:pPr>
              <w:jc w:val="center"/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i/>
                <w:iCs/>
                <w:sz w:val="24"/>
              </w:rPr>
              <w:t>p</w:t>
            </w:r>
            <w:r>
              <w:rPr>
                <w:rFonts w:ascii="Arial Regular" w:hAnsi="Arial Regular" w:cs="Arial Regular"/>
                <w:b/>
                <w:bCs/>
                <w:sz w:val="24"/>
              </w:rPr>
              <w:t>-value</w:t>
            </w:r>
          </w:p>
        </w:tc>
      </w:tr>
      <w:tr w:rsidR="00013026" w14:paraId="4792D9B5" w14:textId="77777777">
        <w:trPr>
          <w:trHeight w:val="929"/>
        </w:trPr>
        <w:tc>
          <w:tcPr>
            <w:tcW w:w="2036" w:type="dxa"/>
            <w:tcBorders>
              <w:top w:val="single" w:sz="4" w:space="0" w:color="auto"/>
            </w:tcBorders>
            <w:shd w:val="clear" w:color="auto" w:fill="auto"/>
          </w:tcPr>
          <w:p w14:paraId="4EE15AD7" w14:textId="77777777" w:rsidR="00013026" w:rsidRDefault="00000000">
            <w:pPr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sz w:val="24"/>
              </w:rPr>
              <w:t>TyG, continuous</w:t>
            </w:r>
          </w:p>
        </w:tc>
        <w:tc>
          <w:tcPr>
            <w:tcW w:w="1829" w:type="dxa"/>
            <w:tcBorders>
              <w:top w:val="single" w:sz="4" w:space="0" w:color="auto"/>
            </w:tcBorders>
          </w:tcPr>
          <w:p w14:paraId="3666CB23" w14:textId="77777777" w:rsidR="00013026" w:rsidRDefault="00000000">
            <w:pPr>
              <w:widowControl/>
              <w:jc w:val="center"/>
              <w:textAlignment w:val="top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eastAsia="Times New Roman Regular" w:hAnsi="Arial Regular" w:cs="Arial Regular"/>
                <w:color w:val="000000"/>
                <w:kern w:val="0"/>
                <w:sz w:val="24"/>
                <w:lang w:bidi="ar"/>
              </w:rPr>
              <w:t>1.31 (1.1</w:t>
            </w:r>
            <w:r>
              <w:rPr>
                <w:rStyle w:val="font11"/>
                <w:rFonts w:ascii="Arial Regular" w:hAnsi="Arial Regular" w:cs="Arial Regular"/>
                <w:lang w:bidi="ar"/>
              </w:rPr>
              <w:t>0, 1.57)</w:t>
            </w:r>
          </w:p>
        </w:tc>
        <w:tc>
          <w:tcPr>
            <w:tcW w:w="1095" w:type="dxa"/>
            <w:tcBorders>
              <w:top w:val="single" w:sz="4" w:space="0" w:color="auto"/>
            </w:tcBorders>
          </w:tcPr>
          <w:p w14:paraId="208BE02C" w14:textId="77777777" w:rsidR="00013026" w:rsidRDefault="00000000">
            <w:pPr>
              <w:widowControl/>
              <w:jc w:val="center"/>
              <w:textAlignment w:val="top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eastAsia="Times New Roman Regular" w:hAnsi="Arial Regular" w:cs="Arial Regular"/>
                <w:color w:val="000000"/>
                <w:kern w:val="0"/>
                <w:sz w:val="24"/>
                <w:lang w:bidi="ar"/>
              </w:rPr>
              <w:t>0.003</w:t>
            </w:r>
          </w:p>
        </w:tc>
        <w:tc>
          <w:tcPr>
            <w:tcW w:w="1827" w:type="dxa"/>
            <w:tcBorders>
              <w:top w:val="single" w:sz="4" w:space="0" w:color="auto"/>
            </w:tcBorders>
          </w:tcPr>
          <w:p w14:paraId="3123C563" w14:textId="77777777" w:rsidR="00013026" w:rsidRDefault="00000000">
            <w:pPr>
              <w:widowControl/>
              <w:jc w:val="center"/>
              <w:textAlignment w:val="top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eastAsia="Times New Roman Regular" w:hAnsi="Arial Regular" w:cs="Arial Regular"/>
                <w:color w:val="000000"/>
                <w:kern w:val="0"/>
                <w:sz w:val="24"/>
                <w:lang w:bidi="ar"/>
              </w:rPr>
              <w:t>1.3</w:t>
            </w:r>
            <w:r>
              <w:rPr>
                <w:rStyle w:val="font11"/>
                <w:rFonts w:ascii="Arial Regular" w:hAnsi="Arial Regular" w:cs="Arial Regular"/>
                <w:lang w:bidi="ar"/>
              </w:rPr>
              <w:t>3 (1.11, 1.59)</w:t>
            </w:r>
          </w:p>
        </w:tc>
        <w:tc>
          <w:tcPr>
            <w:tcW w:w="1000" w:type="dxa"/>
            <w:tcBorders>
              <w:top w:val="single" w:sz="4" w:space="0" w:color="auto"/>
            </w:tcBorders>
          </w:tcPr>
          <w:p w14:paraId="445832CB" w14:textId="77777777" w:rsidR="00013026" w:rsidRDefault="00000000">
            <w:pPr>
              <w:widowControl/>
              <w:jc w:val="center"/>
              <w:textAlignment w:val="top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eastAsia="Times New Roman Regular" w:hAnsi="Arial Regular" w:cs="Arial Regular"/>
                <w:color w:val="000000"/>
                <w:kern w:val="0"/>
                <w:sz w:val="24"/>
                <w:lang w:bidi="ar"/>
              </w:rPr>
              <w:t>0.002</w:t>
            </w:r>
          </w:p>
        </w:tc>
        <w:tc>
          <w:tcPr>
            <w:tcW w:w="1791" w:type="dxa"/>
            <w:tcBorders>
              <w:top w:val="single" w:sz="4" w:space="0" w:color="auto"/>
            </w:tcBorders>
          </w:tcPr>
          <w:p w14:paraId="06A168B2" w14:textId="77777777" w:rsidR="00013026" w:rsidRDefault="00000000">
            <w:pPr>
              <w:widowControl/>
              <w:jc w:val="center"/>
              <w:textAlignment w:val="top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eastAsia="Times New Roman Regular" w:hAnsi="Arial Regular" w:cs="Arial Regular"/>
                <w:color w:val="000000"/>
                <w:kern w:val="0"/>
                <w:sz w:val="24"/>
                <w:lang w:bidi="ar"/>
              </w:rPr>
              <w:t>1.2</w:t>
            </w:r>
            <w:r>
              <w:rPr>
                <w:rStyle w:val="font11"/>
                <w:rFonts w:ascii="Arial Regular" w:hAnsi="Arial Regular" w:cs="Arial Regular"/>
                <w:lang w:bidi="ar"/>
              </w:rPr>
              <w:t>3 (1.01, 1.48)</w:t>
            </w:r>
          </w:p>
        </w:tc>
        <w:tc>
          <w:tcPr>
            <w:tcW w:w="1001" w:type="dxa"/>
            <w:tcBorders>
              <w:top w:val="single" w:sz="4" w:space="0" w:color="auto"/>
            </w:tcBorders>
          </w:tcPr>
          <w:p w14:paraId="793A2B0F" w14:textId="77777777" w:rsidR="00013026" w:rsidRDefault="00000000">
            <w:pPr>
              <w:widowControl/>
              <w:jc w:val="center"/>
              <w:textAlignment w:val="top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eastAsia="Times New Roman Regular" w:hAnsi="Arial Regular" w:cs="Arial Regular"/>
                <w:color w:val="000000"/>
                <w:kern w:val="0"/>
                <w:sz w:val="24"/>
                <w:lang w:bidi="ar"/>
              </w:rPr>
              <w:t>0.036</w:t>
            </w:r>
          </w:p>
        </w:tc>
      </w:tr>
      <w:tr w:rsidR="00013026" w14:paraId="017121B9" w14:textId="77777777">
        <w:trPr>
          <w:trHeight w:val="450"/>
        </w:trPr>
        <w:tc>
          <w:tcPr>
            <w:tcW w:w="2036" w:type="dxa"/>
            <w:shd w:val="clear" w:color="auto" w:fill="auto"/>
          </w:tcPr>
          <w:p w14:paraId="67B6C6F3" w14:textId="77777777" w:rsidR="00013026" w:rsidRDefault="00000000">
            <w:pPr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sz w:val="24"/>
              </w:rPr>
              <w:t>TyG, category</w:t>
            </w:r>
          </w:p>
        </w:tc>
        <w:tc>
          <w:tcPr>
            <w:tcW w:w="1829" w:type="dxa"/>
          </w:tcPr>
          <w:p w14:paraId="69FB3C14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  <w:tc>
          <w:tcPr>
            <w:tcW w:w="1095" w:type="dxa"/>
          </w:tcPr>
          <w:p w14:paraId="663CC95E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  <w:tc>
          <w:tcPr>
            <w:tcW w:w="1827" w:type="dxa"/>
          </w:tcPr>
          <w:p w14:paraId="45060FE3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  <w:tc>
          <w:tcPr>
            <w:tcW w:w="1000" w:type="dxa"/>
          </w:tcPr>
          <w:p w14:paraId="149C5128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  <w:tc>
          <w:tcPr>
            <w:tcW w:w="1791" w:type="dxa"/>
          </w:tcPr>
          <w:p w14:paraId="4BE22F44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  <w:tc>
          <w:tcPr>
            <w:tcW w:w="1001" w:type="dxa"/>
          </w:tcPr>
          <w:p w14:paraId="3F3C2556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</w:tr>
      <w:tr w:rsidR="00013026" w14:paraId="3F0B9A95" w14:textId="77777777">
        <w:trPr>
          <w:trHeight w:val="450"/>
        </w:trPr>
        <w:tc>
          <w:tcPr>
            <w:tcW w:w="2036" w:type="dxa"/>
            <w:shd w:val="clear" w:color="auto" w:fill="auto"/>
          </w:tcPr>
          <w:p w14:paraId="6C2762A3" w14:textId="77777777" w:rsidR="00013026" w:rsidRDefault="00000000">
            <w:pPr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sz w:val="24"/>
              </w:rPr>
              <w:t>TyG &lt; 8.981</w:t>
            </w:r>
          </w:p>
        </w:tc>
        <w:tc>
          <w:tcPr>
            <w:tcW w:w="1829" w:type="dxa"/>
          </w:tcPr>
          <w:p w14:paraId="3DFFFC68" w14:textId="77777777" w:rsidR="00013026" w:rsidRDefault="00000000">
            <w:pPr>
              <w:widowControl/>
              <w:jc w:val="center"/>
              <w:textAlignment w:val="top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eastAsia="Times New Roman Regular" w:hAnsi="Arial Regular" w:cs="Arial Regular"/>
                <w:color w:val="000000"/>
                <w:kern w:val="0"/>
                <w:sz w:val="24"/>
                <w:lang w:bidi="ar"/>
              </w:rPr>
              <w:t>reference</w:t>
            </w:r>
          </w:p>
        </w:tc>
        <w:tc>
          <w:tcPr>
            <w:tcW w:w="1095" w:type="dxa"/>
          </w:tcPr>
          <w:p w14:paraId="2082E418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  <w:tc>
          <w:tcPr>
            <w:tcW w:w="1827" w:type="dxa"/>
          </w:tcPr>
          <w:p w14:paraId="58753D0A" w14:textId="77777777" w:rsidR="00013026" w:rsidRDefault="00000000">
            <w:pPr>
              <w:widowControl/>
              <w:jc w:val="center"/>
              <w:textAlignment w:val="top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eastAsia="Times New Roman Regular" w:hAnsi="Arial Regular" w:cs="Arial Regular"/>
                <w:color w:val="000000"/>
                <w:kern w:val="0"/>
                <w:sz w:val="24"/>
                <w:lang w:bidi="ar"/>
              </w:rPr>
              <w:t>reference</w:t>
            </w:r>
          </w:p>
        </w:tc>
        <w:tc>
          <w:tcPr>
            <w:tcW w:w="1000" w:type="dxa"/>
          </w:tcPr>
          <w:p w14:paraId="24B39E0C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  <w:tc>
          <w:tcPr>
            <w:tcW w:w="1791" w:type="dxa"/>
          </w:tcPr>
          <w:p w14:paraId="19C2FE0A" w14:textId="77777777" w:rsidR="00013026" w:rsidRDefault="00000000">
            <w:pPr>
              <w:widowControl/>
              <w:jc w:val="center"/>
              <w:textAlignment w:val="top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eastAsia="Times New Roman Regular" w:hAnsi="Arial Regular" w:cs="Arial Regular"/>
                <w:color w:val="000000"/>
                <w:kern w:val="0"/>
                <w:sz w:val="24"/>
                <w:lang w:bidi="ar"/>
              </w:rPr>
              <w:t>reference</w:t>
            </w:r>
          </w:p>
        </w:tc>
        <w:tc>
          <w:tcPr>
            <w:tcW w:w="1001" w:type="dxa"/>
          </w:tcPr>
          <w:p w14:paraId="68988AA4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</w:tr>
      <w:tr w:rsidR="00013026" w14:paraId="54970A18" w14:textId="77777777">
        <w:trPr>
          <w:trHeight w:val="918"/>
        </w:trPr>
        <w:tc>
          <w:tcPr>
            <w:tcW w:w="2036" w:type="dxa"/>
            <w:tcBorders>
              <w:bottom w:val="single" w:sz="4" w:space="0" w:color="auto"/>
            </w:tcBorders>
            <w:shd w:val="clear" w:color="auto" w:fill="auto"/>
          </w:tcPr>
          <w:p w14:paraId="3B361A46" w14:textId="77777777" w:rsidR="00013026" w:rsidRDefault="00000000">
            <w:pPr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sz w:val="24"/>
              </w:rPr>
              <w:t>TyG ≥ 8.981</w:t>
            </w:r>
          </w:p>
        </w:tc>
        <w:tc>
          <w:tcPr>
            <w:tcW w:w="1829" w:type="dxa"/>
            <w:tcBorders>
              <w:bottom w:val="single" w:sz="4" w:space="0" w:color="auto"/>
            </w:tcBorders>
          </w:tcPr>
          <w:p w14:paraId="259AC899" w14:textId="77777777" w:rsidR="00013026" w:rsidRDefault="00000000">
            <w:pPr>
              <w:widowControl/>
              <w:jc w:val="center"/>
              <w:textAlignment w:val="top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eastAsia="Times New Roman Regular" w:hAnsi="Arial Regular" w:cs="Arial Regular"/>
                <w:color w:val="000000"/>
                <w:kern w:val="0"/>
                <w:sz w:val="24"/>
                <w:lang w:bidi="ar"/>
              </w:rPr>
              <w:t>1.</w:t>
            </w:r>
            <w:r>
              <w:rPr>
                <w:rStyle w:val="font11"/>
                <w:rFonts w:ascii="Arial Regular" w:hAnsi="Arial Regular" w:cs="Arial Regular"/>
                <w:lang w:bidi="ar"/>
              </w:rPr>
              <w:t>80 (1.35, 2.30)</w:t>
            </w:r>
          </w:p>
        </w:tc>
        <w:tc>
          <w:tcPr>
            <w:tcW w:w="1095" w:type="dxa"/>
            <w:tcBorders>
              <w:bottom w:val="single" w:sz="4" w:space="0" w:color="auto"/>
            </w:tcBorders>
          </w:tcPr>
          <w:p w14:paraId="3E0E4EE7" w14:textId="77777777" w:rsidR="00013026" w:rsidRDefault="00000000">
            <w:pPr>
              <w:widowControl/>
              <w:jc w:val="center"/>
              <w:textAlignment w:val="top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eastAsia="Times New Roman Regular" w:hAnsi="Arial Regular" w:cs="Arial Regular"/>
                <w:color w:val="000000"/>
                <w:kern w:val="0"/>
                <w:sz w:val="24"/>
                <w:lang w:bidi="ar"/>
              </w:rPr>
              <w:t>&lt;</w:t>
            </w:r>
            <w:r>
              <w:rPr>
                <w:rStyle w:val="font11"/>
                <w:rFonts w:ascii="Arial Regular" w:hAnsi="Arial Regular" w:cs="Arial Regular"/>
                <w:lang w:bidi="ar"/>
              </w:rPr>
              <w:t>0.001</w:t>
            </w:r>
          </w:p>
        </w:tc>
        <w:tc>
          <w:tcPr>
            <w:tcW w:w="1827" w:type="dxa"/>
            <w:tcBorders>
              <w:bottom w:val="single" w:sz="4" w:space="0" w:color="auto"/>
            </w:tcBorders>
          </w:tcPr>
          <w:p w14:paraId="45F5CC09" w14:textId="77777777" w:rsidR="00013026" w:rsidRDefault="00000000">
            <w:pPr>
              <w:widowControl/>
              <w:jc w:val="center"/>
              <w:textAlignment w:val="top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eastAsia="Times New Roman Regular" w:hAnsi="Arial Regular" w:cs="Arial Regular"/>
                <w:color w:val="000000"/>
                <w:kern w:val="0"/>
                <w:sz w:val="24"/>
                <w:lang w:bidi="ar"/>
              </w:rPr>
              <w:t>1.</w:t>
            </w:r>
            <w:r>
              <w:rPr>
                <w:rStyle w:val="font11"/>
                <w:rFonts w:ascii="Arial Regular" w:hAnsi="Arial Regular" w:cs="Arial Regular"/>
                <w:lang w:bidi="ar"/>
              </w:rPr>
              <w:t>84 (1.38, 2.45)</w:t>
            </w:r>
          </w:p>
        </w:tc>
        <w:tc>
          <w:tcPr>
            <w:tcW w:w="1000" w:type="dxa"/>
            <w:tcBorders>
              <w:bottom w:val="single" w:sz="4" w:space="0" w:color="auto"/>
            </w:tcBorders>
          </w:tcPr>
          <w:p w14:paraId="01A14021" w14:textId="77777777" w:rsidR="00013026" w:rsidRDefault="00000000">
            <w:pPr>
              <w:widowControl/>
              <w:jc w:val="center"/>
              <w:textAlignment w:val="top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eastAsia="Times New Roman Regular" w:hAnsi="Arial Regular" w:cs="Arial Regular"/>
                <w:color w:val="000000"/>
                <w:kern w:val="0"/>
                <w:sz w:val="24"/>
                <w:lang w:bidi="ar"/>
              </w:rPr>
              <w:t>&lt;</w:t>
            </w:r>
            <w:r>
              <w:rPr>
                <w:rStyle w:val="font11"/>
                <w:rFonts w:ascii="Arial Regular" w:hAnsi="Arial Regular" w:cs="Arial Regular"/>
                <w:lang w:bidi="ar"/>
              </w:rPr>
              <w:t>0.001</w:t>
            </w:r>
          </w:p>
        </w:tc>
        <w:tc>
          <w:tcPr>
            <w:tcW w:w="1791" w:type="dxa"/>
            <w:tcBorders>
              <w:bottom w:val="single" w:sz="4" w:space="0" w:color="auto"/>
            </w:tcBorders>
          </w:tcPr>
          <w:p w14:paraId="2225D0B6" w14:textId="77777777" w:rsidR="00013026" w:rsidRDefault="00000000">
            <w:pPr>
              <w:widowControl/>
              <w:jc w:val="center"/>
              <w:textAlignment w:val="top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eastAsia="Times New Roman Regular" w:hAnsi="Arial Regular" w:cs="Arial Regular"/>
                <w:color w:val="000000"/>
                <w:kern w:val="0"/>
                <w:sz w:val="24"/>
                <w:lang w:bidi="ar"/>
              </w:rPr>
              <w:t>1.75 (1.29, 2.36)</w:t>
            </w:r>
          </w:p>
        </w:tc>
        <w:tc>
          <w:tcPr>
            <w:tcW w:w="1001" w:type="dxa"/>
            <w:tcBorders>
              <w:bottom w:val="single" w:sz="4" w:space="0" w:color="auto"/>
            </w:tcBorders>
          </w:tcPr>
          <w:p w14:paraId="1FC49BBB" w14:textId="77777777" w:rsidR="00013026" w:rsidRDefault="00000000">
            <w:pPr>
              <w:widowControl/>
              <w:jc w:val="center"/>
              <w:textAlignment w:val="top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eastAsia="Times New Roman Regular" w:hAnsi="Arial Regular" w:cs="Arial Regular"/>
                <w:color w:val="000000"/>
                <w:kern w:val="0"/>
                <w:sz w:val="24"/>
                <w:lang w:bidi="ar"/>
              </w:rPr>
              <w:t>&lt;0.001</w:t>
            </w:r>
          </w:p>
        </w:tc>
      </w:tr>
      <w:tr w:rsidR="00013026" w14:paraId="155538FE" w14:textId="77777777">
        <w:trPr>
          <w:trHeight w:val="903"/>
        </w:trPr>
        <w:tc>
          <w:tcPr>
            <w:tcW w:w="2036" w:type="dxa"/>
            <w:tcBorders>
              <w:top w:val="single" w:sz="4" w:space="0" w:color="auto"/>
            </w:tcBorders>
            <w:shd w:val="clear" w:color="auto" w:fill="auto"/>
          </w:tcPr>
          <w:p w14:paraId="416B22E8" w14:textId="77777777" w:rsidR="00013026" w:rsidRDefault="00000000">
            <w:pPr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sz w:val="24"/>
              </w:rPr>
              <w:t>NLR, continuous</w:t>
            </w:r>
          </w:p>
        </w:tc>
        <w:tc>
          <w:tcPr>
            <w:tcW w:w="1829" w:type="dxa"/>
            <w:tcBorders>
              <w:top w:val="single" w:sz="4" w:space="0" w:color="auto"/>
            </w:tcBorders>
          </w:tcPr>
          <w:p w14:paraId="4626FAE4" w14:textId="77777777" w:rsidR="00013026" w:rsidRDefault="00000000">
            <w:pPr>
              <w:widowControl/>
              <w:jc w:val="center"/>
              <w:textAlignment w:val="top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eastAsia="Times New Roman Regular" w:hAnsi="Arial Regular" w:cs="Arial Regular"/>
                <w:color w:val="000000"/>
                <w:kern w:val="0"/>
                <w:sz w:val="24"/>
                <w:lang w:bidi="ar"/>
              </w:rPr>
              <w:t>1.0</w:t>
            </w:r>
            <w:r>
              <w:rPr>
                <w:rStyle w:val="font11"/>
                <w:rFonts w:ascii="Arial Regular" w:hAnsi="Arial Regular" w:cs="Arial Regular"/>
                <w:lang w:bidi="ar"/>
              </w:rPr>
              <w:t>5 (1.02, 1.09)</w:t>
            </w:r>
          </w:p>
        </w:tc>
        <w:tc>
          <w:tcPr>
            <w:tcW w:w="1095" w:type="dxa"/>
            <w:tcBorders>
              <w:top w:val="single" w:sz="4" w:space="0" w:color="auto"/>
            </w:tcBorders>
          </w:tcPr>
          <w:p w14:paraId="6073EA26" w14:textId="77777777" w:rsidR="00013026" w:rsidRDefault="00000000">
            <w:pPr>
              <w:widowControl/>
              <w:jc w:val="center"/>
              <w:textAlignment w:val="top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eastAsia="Times New Roman Regular" w:hAnsi="Arial Regular" w:cs="Arial Regular"/>
                <w:color w:val="000000"/>
                <w:kern w:val="0"/>
                <w:sz w:val="24"/>
                <w:lang w:bidi="ar"/>
              </w:rPr>
              <w:t>&lt;0.001</w:t>
            </w:r>
          </w:p>
        </w:tc>
        <w:tc>
          <w:tcPr>
            <w:tcW w:w="1827" w:type="dxa"/>
            <w:tcBorders>
              <w:top w:val="single" w:sz="4" w:space="0" w:color="auto"/>
            </w:tcBorders>
          </w:tcPr>
          <w:p w14:paraId="59EA8E2B" w14:textId="77777777" w:rsidR="00013026" w:rsidRDefault="00000000">
            <w:pPr>
              <w:widowControl/>
              <w:jc w:val="center"/>
              <w:textAlignment w:val="top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eastAsia="Times New Roman Regular" w:hAnsi="Arial Regular" w:cs="Arial Regular"/>
                <w:color w:val="000000"/>
                <w:kern w:val="0"/>
                <w:sz w:val="24"/>
                <w:lang w:bidi="ar"/>
              </w:rPr>
              <w:t>1.0</w:t>
            </w:r>
            <w:r>
              <w:rPr>
                <w:rStyle w:val="font11"/>
                <w:rFonts w:ascii="Arial Regular" w:hAnsi="Arial Regular" w:cs="Arial Regular"/>
                <w:lang w:bidi="ar"/>
              </w:rPr>
              <w:t>6 (1.03, 1.09)</w:t>
            </w:r>
          </w:p>
        </w:tc>
        <w:tc>
          <w:tcPr>
            <w:tcW w:w="1000" w:type="dxa"/>
            <w:tcBorders>
              <w:top w:val="single" w:sz="4" w:space="0" w:color="auto"/>
            </w:tcBorders>
          </w:tcPr>
          <w:p w14:paraId="165CE3B6" w14:textId="77777777" w:rsidR="00013026" w:rsidRDefault="00000000">
            <w:pPr>
              <w:widowControl/>
              <w:jc w:val="center"/>
              <w:textAlignment w:val="top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eastAsia="Times New Roman Regular" w:hAnsi="Arial Regular" w:cs="Arial Regular"/>
                <w:color w:val="000000"/>
                <w:kern w:val="0"/>
                <w:sz w:val="24"/>
                <w:lang w:bidi="ar"/>
              </w:rPr>
              <w:t>&lt;</w:t>
            </w:r>
            <w:r>
              <w:rPr>
                <w:rStyle w:val="font11"/>
                <w:rFonts w:ascii="Arial Regular" w:hAnsi="Arial Regular" w:cs="Arial Regular"/>
                <w:lang w:bidi="ar"/>
              </w:rPr>
              <w:t>0.001</w:t>
            </w:r>
          </w:p>
        </w:tc>
        <w:tc>
          <w:tcPr>
            <w:tcW w:w="1791" w:type="dxa"/>
            <w:tcBorders>
              <w:top w:val="single" w:sz="4" w:space="0" w:color="auto"/>
            </w:tcBorders>
          </w:tcPr>
          <w:p w14:paraId="049879AA" w14:textId="77777777" w:rsidR="00013026" w:rsidRDefault="00000000">
            <w:pPr>
              <w:widowControl/>
              <w:jc w:val="center"/>
              <w:textAlignment w:val="top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eastAsia="Times New Roman Regular" w:hAnsi="Arial Regular" w:cs="Arial Regular"/>
                <w:color w:val="000000"/>
                <w:kern w:val="0"/>
                <w:sz w:val="24"/>
                <w:lang w:bidi="ar"/>
              </w:rPr>
              <w:t>1.04 (1.00, 1.07</w:t>
            </w:r>
            <w:r>
              <w:rPr>
                <w:rStyle w:val="font11"/>
                <w:rFonts w:ascii="Arial Regular" w:hAnsi="Arial Regular" w:cs="Arial Regular"/>
                <w:lang w:bidi="ar"/>
              </w:rPr>
              <w:t>)</w:t>
            </w:r>
          </w:p>
        </w:tc>
        <w:tc>
          <w:tcPr>
            <w:tcW w:w="1001" w:type="dxa"/>
            <w:tcBorders>
              <w:top w:val="single" w:sz="4" w:space="0" w:color="auto"/>
            </w:tcBorders>
          </w:tcPr>
          <w:p w14:paraId="6880193D" w14:textId="77777777" w:rsidR="00013026" w:rsidRDefault="00000000">
            <w:pPr>
              <w:widowControl/>
              <w:jc w:val="center"/>
              <w:textAlignment w:val="top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eastAsia="Times New Roman Regular" w:hAnsi="Arial Regular" w:cs="Arial Regular"/>
                <w:color w:val="000000"/>
                <w:kern w:val="0"/>
                <w:sz w:val="24"/>
                <w:lang w:bidi="ar"/>
              </w:rPr>
              <w:t>0.048</w:t>
            </w:r>
          </w:p>
        </w:tc>
      </w:tr>
      <w:tr w:rsidR="00013026" w14:paraId="7EF1391D" w14:textId="77777777">
        <w:trPr>
          <w:trHeight w:val="450"/>
        </w:trPr>
        <w:tc>
          <w:tcPr>
            <w:tcW w:w="2036" w:type="dxa"/>
            <w:shd w:val="clear" w:color="auto" w:fill="auto"/>
          </w:tcPr>
          <w:p w14:paraId="0178171C" w14:textId="77777777" w:rsidR="00013026" w:rsidRDefault="00000000">
            <w:pPr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sz w:val="24"/>
              </w:rPr>
              <w:t>NLR, category</w:t>
            </w:r>
          </w:p>
        </w:tc>
        <w:tc>
          <w:tcPr>
            <w:tcW w:w="1829" w:type="dxa"/>
          </w:tcPr>
          <w:p w14:paraId="771B2E70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  <w:tc>
          <w:tcPr>
            <w:tcW w:w="1095" w:type="dxa"/>
          </w:tcPr>
          <w:p w14:paraId="68D17167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  <w:tc>
          <w:tcPr>
            <w:tcW w:w="1827" w:type="dxa"/>
          </w:tcPr>
          <w:p w14:paraId="45F86564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  <w:tc>
          <w:tcPr>
            <w:tcW w:w="1000" w:type="dxa"/>
          </w:tcPr>
          <w:p w14:paraId="65569986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  <w:tc>
          <w:tcPr>
            <w:tcW w:w="1791" w:type="dxa"/>
          </w:tcPr>
          <w:p w14:paraId="464C8E9C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  <w:tc>
          <w:tcPr>
            <w:tcW w:w="1001" w:type="dxa"/>
          </w:tcPr>
          <w:p w14:paraId="0207C3DA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</w:tr>
      <w:tr w:rsidR="00013026" w14:paraId="3B7B1FDF" w14:textId="77777777">
        <w:trPr>
          <w:trHeight w:val="450"/>
        </w:trPr>
        <w:tc>
          <w:tcPr>
            <w:tcW w:w="2036" w:type="dxa"/>
            <w:shd w:val="clear" w:color="auto" w:fill="auto"/>
          </w:tcPr>
          <w:p w14:paraId="07291337" w14:textId="77777777" w:rsidR="00013026" w:rsidRDefault="00000000">
            <w:pPr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sz w:val="24"/>
              </w:rPr>
              <w:t>NLR &lt; 4.941</w:t>
            </w:r>
          </w:p>
        </w:tc>
        <w:tc>
          <w:tcPr>
            <w:tcW w:w="1829" w:type="dxa"/>
          </w:tcPr>
          <w:p w14:paraId="4DD2CAF8" w14:textId="77777777" w:rsidR="00013026" w:rsidRDefault="00000000">
            <w:pPr>
              <w:widowControl/>
              <w:jc w:val="center"/>
              <w:textAlignment w:val="top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eastAsia="Times New Roman Regular" w:hAnsi="Arial Regular" w:cs="Arial Regular"/>
                <w:color w:val="000000"/>
                <w:kern w:val="0"/>
                <w:sz w:val="24"/>
                <w:lang w:bidi="ar"/>
              </w:rPr>
              <w:t>reference</w:t>
            </w:r>
          </w:p>
        </w:tc>
        <w:tc>
          <w:tcPr>
            <w:tcW w:w="1095" w:type="dxa"/>
          </w:tcPr>
          <w:p w14:paraId="2AC16975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  <w:tc>
          <w:tcPr>
            <w:tcW w:w="1827" w:type="dxa"/>
          </w:tcPr>
          <w:p w14:paraId="58F76D6B" w14:textId="77777777" w:rsidR="00013026" w:rsidRDefault="00000000">
            <w:pPr>
              <w:widowControl/>
              <w:jc w:val="center"/>
              <w:textAlignment w:val="top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eastAsia="Times New Roman Regular" w:hAnsi="Arial Regular" w:cs="Arial Regular"/>
                <w:color w:val="000000"/>
                <w:kern w:val="0"/>
                <w:sz w:val="24"/>
                <w:lang w:bidi="ar"/>
              </w:rPr>
              <w:t>reference</w:t>
            </w:r>
          </w:p>
        </w:tc>
        <w:tc>
          <w:tcPr>
            <w:tcW w:w="1000" w:type="dxa"/>
          </w:tcPr>
          <w:p w14:paraId="272D7964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  <w:tc>
          <w:tcPr>
            <w:tcW w:w="1791" w:type="dxa"/>
          </w:tcPr>
          <w:p w14:paraId="1696AACD" w14:textId="77777777" w:rsidR="00013026" w:rsidRDefault="00000000">
            <w:pPr>
              <w:widowControl/>
              <w:jc w:val="center"/>
              <w:textAlignment w:val="top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eastAsia="Times New Roman Regular" w:hAnsi="Arial Regular" w:cs="Arial Regular"/>
                <w:color w:val="000000"/>
                <w:kern w:val="0"/>
                <w:sz w:val="24"/>
                <w:lang w:bidi="ar"/>
              </w:rPr>
              <w:t>reference</w:t>
            </w:r>
          </w:p>
        </w:tc>
        <w:tc>
          <w:tcPr>
            <w:tcW w:w="1001" w:type="dxa"/>
          </w:tcPr>
          <w:p w14:paraId="2D233A2A" w14:textId="77777777" w:rsidR="00013026" w:rsidRDefault="00013026">
            <w:pPr>
              <w:jc w:val="center"/>
              <w:rPr>
                <w:rFonts w:ascii="Arial Regular" w:hAnsi="Arial Regular" w:cs="Arial Regular"/>
                <w:sz w:val="24"/>
              </w:rPr>
            </w:pPr>
          </w:p>
        </w:tc>
      </w:tr>
      <w:tr w:rsidR="00013026" w14:paraId="439E80BA" w14:textId="77777777">
        <w:trPr>
          <w:trHeight w:val="929"/>
        </w:trPr>
        <w:tc>
          <w:tcPr>
            <w:tcW w:w="2036" w:type="dxa"/>
            <w:shd w:val="clear" w:color="auto" w:fill="auto"/>
          </w:tcPr>
          <w:p w14:paraId="7D8273D7" w14:textId="77777777" w:rsidR="00013026" w:rsidRDefault="00000000">
            <w:pPr>
              <w:rPr>
                <w:rFonts w:ascii="Arial Regular" w:hAnsi="Arial Regular" w:cs="Arial Regular"/>
                <w:b/>
                <w:bCs/>
                <w:sz w:val="24"/>
              </w:rPr>
            </w:pPr>
            <w:r>
              <w:rPr>
                <w:rFonts w:ascii="Arial Regular" w:hAnsi="Arial Regular" w:cs="Arial Regular"/>
                <w:b/>
                <w:bCs/>
                <w:sz w:val="24"/>
              </w:rPr>
              <w:t>NLR≥4.941</w:t>
            </w:r>
          </w:p>
        </w:tc>
        <w:tc>
          <w:tcPr>
            <w:tcW w:w="1829" w:type="dxa"/>
          </w:tcPr>
          <w:p w14:paraId="10A30A66" w14:textId="77777777" w:rsidR="00013026" w:rsidRDefault="00000000">
            <w:pPr>
              <w:widowControl/>
              <w:jc w:val="center"/>
              <w:textAlignment w:val="top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eastAsia="Times New Roman Regular" w:hAnsi="Arial Regular" w:cs="Arial Regular"/>
                <w:color w:val="000000"/>
                <w:kern w:val="0"/>
                <w:sz w:val="24"/>
                <w:lang w:bidi="ar"/>
              </w:rPr>
              <w:t>1.</w:t>
            </w:r>
            <w:r>
              <w:rPr>
                <w:rStyle w:val="font11"/>
                <w:rFonts w:ascii="Arial Regular" w:hAnsi="Arial Regular" w:cs="Arial Regular"/>
                <w:lang w:bidi="ar"/>
              </w:rPr>
              <w:t>72 (1.32, 2.24)</w:t>
            </w:r>
          </w:p>
        </w:tc>
        <w:tc>
          <w:tcPr>
            <w:tcW w:w="1095" w:type="dxa"/>
          </w:tcPr>
          <w:p w14:paraId="59D2B84E" w14:textId="77777777" w:rsidR="00013026" w:rsidRDefault="00000000">
            <w:pPr>
              <w:widowControl/>
              <w:jc w:val="center"/>
              <w:textAlignment w:val="top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eastAsia="Times New Roman Regular" w:hAnsi="Arial Regular" w:cs="Arial Regular"/>
                <w:color w:val="000000"/>
                <w:kern w:val="0"/>
                <w:sz w:val="24"/>
                <w:lang w:bidi="ar"/>
              </w:rPr>
              <w:t>&lt;</w:t>
            </w:r>
            <w:r>
              <w:rPr>
                <w:rStyle w:val="font11"/>
                <w:rFonts w:ascii="Arial Regular" w:hAnsi="Arial Regular" w:cs="Arial Regular"/>
                <w:lang w:bidi="ar"/>
              </w:rPr>
              <w:t>0.001</w:t>
            </w:r>
          </w:p>
        </w:tc>
        <w:tc>
          <w:tcPr>
            <w:tcW w:w="1827" w:type="dxa"/>
          </w:tcPr>
          <w:p w14:paraId="03F56C98" w14:textId="77777777" w:rsidR="00013026" w:rsidRDefault="00000000">
            <w:pPr>
              <w:widowControl/>
              <w:jc w:val="center"/>
              <w:textAlignment w:val="top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eastAsia="Times New Roman Regular" w:hAnsi="Arial Regular" w:cs="Arial Regular"/>
                <w:color w:val="000000"/>
                <w:kern w:val="0"/>
                <w:sz w:val="24"/>
                <w:lang w:bidi="ar"/>
              </w:rPr>
              <w:t>1.</w:t>
            </w:r>
            <w:r>
              <w:rPr>
                <w:rStyle w:val="font11"/>
                <w:rFonts w:ascii="Arial Regular" w:hAnsi="Arial Regular" w:cs="Arial Regular"/>
                <w:lang w:bidi="ar"/>
              </w:rPr>
              <w:t>73 (1.33, 2.26)</w:t>
            </w:r>
          </w:p>
        </w:tc>
        <w:tc>
          <w:tcPr>
            <w:tcW w:w="1000" w:type="dxa"/>
          </w:tcPr>
          <w:p w14:paraId="7953B80A" w14:textId="77777777" w:rsidR="00013026" w:rsidRDefault="00000000">
            <w:pPr>
              <w:widowControl/>
              <w:jc w:val="center"/>
              <w:textAlignment w:val="top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eastAsia="Times New Roman Regular" w:hAnsi="Arial Regular" w:cs="Arial Regular"/>
                <w:color w:val="000000"/>
                <w:kern w:val="0"/>
                <w:sz w:val="24"/>
                <w:lang w:bidi="ar"/>
              </w:rPr>
              <w:t>&lt;0.001</w:t>
            </w:r>
          </w:p>
        </w:tc>
        <w:tc>
          <w:tcPr>
            <w:tcW w:w="1791" w:type="dxa"/>
          </w:tcPr>
          <w:p w14:paraId="1BC85A03" w14:textId="77777777" w:rsidR="00013026" w:rsidRDefault="00000000">
            <w:pPr>
              <w:widowControl/>
              <w:jc w:val="center"/>
              <w:textAlignment w:val="top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eastAsia="Times New Roman Regular" w:hAnsi="Arial Regular" w:cs="Arial Regular"/>
                <w:color w:val="000000"/>
                <w:kern w:val="0"/>
                <w:sz w:val="24"/>
                <w:lang w:bidi="ar"/>
              </w:rPr>
              <w:t>1.38</w:t>
            </w:r>
            <w:r>
              <w:rPr>
                <w:rStyle w:val="font11"/>
                <w:rFonts w:ascii="Arial Regular" w:hAnsi="Arial Regular" w:cs="Arial Regular"/>
                <w:lang w:bidi="ar"/>
              </w:rPr>
              <w:t xml:space="preserve"> (1.04, 1.83)</w:t>
            </w:r>
          </w:p>
        </w:tc>
        <w:tc>
          <w:tcPr>
            <w:tcW w:w="1001" w:type="dxa"/>
          </w:tcPr>
          <w:p w14:paraId="7031DAA9" w14:textId="77777777" w:rsidR="00013026" w:rsidRDefault="00000000">
            <w:pPr>
              <w:widowControl/>
              <w:jc w:val="center"/>
              <w:textAlignment w:val="top"/>
              <w:rPr>
                <w:rFonts w:ascii="Arial Regular" w:hAnsi="Arial Regular" w:cs="Arial Regular"/>
                <w:sz w:val="24"/>
              </w:rPr>
            </w:pPr>
            <w:r>
              <w:rPr>
                <w:rFonts w:ascii="Arial Regular" w:eastAsia="Times New Roman Regular" w:hAnsi="Arial Regular" w:cs="Arial Regular"/>
                <w:color w:val="000000"/>
                <w:kern w:val="0"/>
                <w:sz w:val="24"/>
                <w:lang w:bidi="ar"/>
              </w:rPr>
              <w:t>0.024</w:t>
            </w:r>
          </w:p>
        </w:tc>
      </w:tr>
    </w:tbl>
    <w:p w14:paraId="32BD38D0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203943DA" w14:textId="77777777" w:rsidR="00013026" w:rsidRDefault="00000000">
      <w:pPr>
        <w:jc w:val="left"/>
        <w:rPr>
          <w:rFonts w:ascii="Arial Regular" w:hAnsi="Arial Regular" w:cs="Arial Regular"/>
          <w:sz w:val="24"/>
        </w:rPr>
      </w:pPr>
      <w:r>
        <w:rPr>
          <w:rFonts w:ascii="Arial Regular" w:hAnsi="Arial Regular" w:cs="Arial Regular"/>
          <w:sz w:val="24"/>
        </w:rPr>
        <w:t>Model I: adjusted for age and sex.</w:t>
      </w:r>
    </w:p>
    <w:p w14:paraId="4FECD630" w14:textId="77777777" w:rsidR="00013026" w:rsidRDefault="00000000">
      <w:pPr>
        <w:jc w:val="left"/>
        <w:rPr>
          <w:rFonts w:ascii="Arial Regular" w:hAnsi="Arial Regular" w:cs="Arial Regular"/>
          <w:sz w:val="24"/>
        </w:rPr>
      </w:pPr>
      <w:r>
        <w:rPr>
          <w:rFonts w:ascii="Arial Regular" w:hAnsi="Arial Regular" w:cs="Arial Regular"/>
          <w:sz w:val="24"/>
        </w:rPr>
        <w:t>Model II: further adjusted for manifestations of coronary heart disease, hypertension, diabetes, atrial fibrillation, cerebrovascular disease, admission treatment method, left main coronary disease, three-vessel disease, systolic blood pressure, diastolic blood pressure, heart rate, current smoking and medications including ACEI/ARB, beta-blocker, statin, dual anti-platelet.</w:t>
      </w:r>
    </w:p>
    <w:p w14:paraId="4BE1E107" w14:textId="77777777" w:rsidR="00013026" w:rsidRDefault="00000000">
      <w:pPr>
        <w:jc w:val="left"/>
        <w:rPr>
          <w:rFonts w:ascii="Arial Regular" w:hAnsi="Arial Regular" w:cs="Arial Regular"/>
          <w:sz w:val="24"/>
        </w:rPr>
      </w:pPr>
      <w:r>
        <w:rPr>
          <w:rFonts w:ascii="Arial Regular" w:hAnsi="Arial Regular" w:cs="Arial Regular"/>
          <w:sz w:val="24"/>
        </w:rPr>
        <w:t>HR, hazard ratio; CI, confidence interval; TyG, triglyceride-glucose index; NLR, neutrophil-lymphocyte ratio.</w:t>
      </w:r>
    </w:p>
    <w:p w14:paraId="3382B178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37DF1FF6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05D9F245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152FE2A3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69164913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16FE5125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357BB9DB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1C0A74E8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5833B12F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52214E29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62C05EEC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09067062" w14:textId="77777777" w:rsidR="00013026" w:rsidRDefault="00000000">
      <w:pPr>
        <w:rPr>
          <w:rFonts w:ascii="Arial Regular" w:hAnsi="Arial Regular" w:cs="Arial Regular"/>
          <w:sz w:val="24"/>
        </w:rPr>
      </w:pPr>
      <w:r>
        <w:rPr>
          <w:rFonts w:ascii="Arial Regular" w:hAnsi="Arial Regular" w:cs="Arial Regular"/>
          <w:b/>
          <w:bCs/>
          <w:sz w:val="24"/>
        </w:rPr>
        <w:lastRenderedPageBreak/>
        <w:t>Supplementary Figure 1.</w:t>
      </w:r>
      <w:r>
        <w:rPr>
          <w:rFonts w:ascii="Arial Regular" w:hAnsi="Arial Regular" w:cs="Arial Regular"/>
          <w:sz w:val="24"/>
        </w:rPr>
        <w:t xml:space="preserve"> ROC curves of different inflammatory scores and lipid-derived indices with all-cause death</w:t>
      </w:r>
    </w:p>
    <w:p w14:paraId="5712219D" w14:textId="77777777" w:rsidR="00013026" w:rsidRDefault="00000000">
      <w:pPr>
        <w:rPr>
          <w:rFonts w:ascii="Arial Regular" w:hAnsi="Arial Regular" w:cs="Arial Regular"/>
          <w:b/>
          <w:bCs/>
          <w:sz w:val="24"/>
        </w:rPr>
      </w:pPr>
      <w:r>
        <w:rPr>
          <w:rFonts w:ascii="Arial Regular" w:hAnsi="Arial Regular" w:cs="Arial Regular"/>
          <w:b/>
          <w:bCs/>
          <w:noProof/>
          <w:sz w:val="24"/>
        </w:rPr>
        <w:drawing>
          <wp:inline distT="0" distB="0" distL="114300" distR="114300" wp14:anchorId="0B4A3B9D" wp14:editId="39DDA949">
            <wp:extent cx="5814695" cy="2950210"/>
            <wp:effectExtent l="0" t="0" r="1905" b="21590"/>
            <wp:docPr id="1" name="图片 1" descr="Supplefigur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Supplefigure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14695" cy="295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05ED9" w14:textId="77777777" w:rsidR="00013026" w:rsidRDefault="00013026">
      <w:pPr>
        <w:rPr>
          <w:rFonts w:ascii="Arial Regular" w:hAnsi="Arial Regular" w:cs="Arial Regular"/>
          <w:b/>
          <w:bCs/>
          <w:sz w:val="24"/>
        </w:rPr>
      </w:pPr>
    </w:p>
    <w:p w14:paraId="3C638A5E" w14:textId="77777777" w:rsidR="00013026" w:rsidRDefault="00000000">
      <w:pPr>
        <w:rPr>
          <w:rFonts w:ascii="Arial Regular" w:hAnsi="Arial Regular" w:cs="Arial Regular"/>
          <w:sz w:val="24"/>
        </w:rPr>
      </w:pPr>
      <w:r>
        <w:rPr>
          <w:rFonts w:ascii="Arial Regular" w:hAnsi="Arial Regular" w:cs="Arial Regular"/>
          <w:sz w:val="24"/>
        </w:rPr>
        <w:t>ROC curves of different inflammatory scores (A) and lipid-derived indices (B) with all-cause death. NLR, neutrophil-lymphocyte ratio; PLR, platelet-lymphocyte ratio; MLR, monocyte-lymphocyte ratio; SII, systemic immune inflammation index; SIIRI, systemic immune inflammatory response index; WBC, white blood cell; NEUT, neutrophil; MON, monocyte; PLT, platelet; AIP, atherogenic index of plasma; LCI, lipoprotein combine index; CRIII, Castelli’s risk index-II; AI, atherosclerosis index; ACI, atherogenic combined index; LDL, low-density lipoprotein cholesterol; HDL, high-density lipoprotein cholesterol; TC, total cholesterol; TG, triglyceride.</w:t>
      </w:r>
    </w:p>
    <w:p w14:paraId="51C00267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4E29037B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16776C43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7E81135D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38D0CC80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3D420BC3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29CA19B3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4948A40B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02CA26CC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203F09B2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2D63C43D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676C2915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3B70EB10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75F695E2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0FE0ED79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430303DD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65B80502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5FA501C1" w14:textId="77777777" w:rsidR="00013026" w:rsidRDefault="00013026">
      <w:pPr>
        <w:jc w:val="left"/>
        <w:rPr>
          <w:rFonts w:ascii="Arial Regular" w:hAnsi="Arial Regular" w:cs="Arial Regular"/>
          <w:sz w:val="24"/>
        </w:rPr>
      </w:pPr>
    </w:p>
    <w:p w14:paraId="584135C2" w14:textId="77777777" w:rsidR="00013026" w:rsidRDefault="00000000">
      <w:pPr>
        <w:rPr>
          <w:rFonts w:ascii="Arial Regular" w:hAnsi="Arial Regular" w:cs="Arial Regular"/>
          <w:sz w:val="24"/>
        </w:rPr>
      </w:pPr>
      <w:r>
        <w:rPr>
          <w:rFonts w:ascii="Arial Regular" w:hAnsi="Arial Regular" w:cs="Arial Regular"/>
          <w:b/>
          <w:bCs/>
          <w:sz w:val="24"/>
        </w:rPr>
        <w:t>Supplementary Figure 2.</w:t>
      </w:r>
      <w:r>
        <w:rPr>
          <w:rFonts w:ascii="Arial Regular" w:hAnsi="Arial Regular" w:cs="Arial Regular"/>
          <w:sz w:val="24"/>
        </w:rPr>
        <w:t xml:space="preserve"> Correlation between TyG index and NLR.</w:t>
      </w:r>
    </w:p>
    <w:p w14:paraId="58B83BDA" w14:textId="77777777" w:rsidR="00013026" w:rsidRDefault="00013026">
      <w:pPr>
        <w:rPr>
          <w:rFonts w:ascii="Arial Regular" w:hAnsi="Arial Regular" w:cs="Arial Regular"/>
          <w:sz w:val="28"/>
          <w:szCs w:val="28"/>
        </w:rPr>
      </w:pPr>
    </w:p>
    <w:p w14:paraId="2EDCF503" w14:textId="77777777" w:rsidR="00013026" w:rsidRDefault="00000000">
      <w:pPr>
        <w:rPr>
          <w:rFonts w:ascii="Arial Regular" w:hAnsi="Arial Regular" w:cs="Arial Regular"/>
          <w:sz w:val="24"/>
        </w:rPr>
      </w:pPr>
      <w:r>
        <w:rPr>
          <w:rFonts w:ascii="Arial Regular" w:hAnsi="Arial Regular" w:cs="Arial Regular"/>
          <w:noProof/>
          <w:sz w:val="24"/>
        </w:rPr>
        <w:drawing>
          <wp:inline distT="0" distB="0" distL="114300" distR="114300" wp14:anchorId="07B438A7" wp14:editId="27EE1E0F">
            <wp:extent cx="5012055" cy="4100830"/>
            <wp:effectExtent l="0" t="0" r="17145" b="13970"/>
            <wp:docPr id="3" name="图片 3" descr="supfig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supfig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12055" cy="410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02D42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1AC52D85" w14:textId="77777777" w:rsidR="00013026" w:rsidRDefault="00000000">
      <w:pPr>
        <w:rPr>
          <w:rFonts w:ascii="Arial Regular" w:hAnsi="Arial Regular" w:cs="Arial Regular"/>
          <w:sz w:val="24"/>
        </w:rPr>
      </w:pPr>
      <w:r>
        <w:rPr>
          <w:rFonts w:ascii="Arial Regular" w:hAnsi="Arial Regular" w:cs="Arial Regular"/>
          <w:sz w:val="24"/>
        </w:rPr>
        <w:t>TyG, triglyceride-glucose index; NLR, neutrophil-lymphocyte ratio.</w:t>
      </w:r>
    </w:p>
    <w:p w14:paraId="19701A90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7CB7D895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33FCB6E7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01018F9E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33EF4FC1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7ED37128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10A91344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4154E002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7022916D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79320798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0F5A3BF2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13BA71C8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72ABC857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4331A4C5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628AFA72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08B6E24D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6B145340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05CAAFB2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4BC2F370" w14:textId="77777777" w:rsidR="00013026" w:rsidRDefault="00000000">
      <w:pPr>
        <w:rPr>
          <w:rFonts w:ascii="Arial Regular" w:hAnsi="Arial Regular" w:cs="Arial Regular"/>
          <w:sz w:val="24"/>
        </w:rPr>
      </w:pPr>
      <w:r>
        <w:rPr>
          <w:rFonts w:ascii="Arial Regular" w:hAnsi="Arial Regular" w:cs="Arial Regular"/>
          <w:b/>
          <w:bCs/>
          <w:sz w:val="24"/>
        </w:rPr>
        <w:t>Supplementary Figure 3.</w:t>
      </w:r>
      <w:r>
        <w:rPr>
          <w:rFonts w:ascii="Arial Regular" w:hAnsi="Arial Regular" w:cs="Arial Regular"/>
          <w:sz w:val="24"/>
        </w:rPr>
        <w:t xml:space="preserve"> ROC curves of TyG index and NLR for all-cause mortality</w:t>
      </w:r>
    </w:p>
    <w:p w14:paraId="1101FD3C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145CAFB5" w14:textId="77777777" w:rsidR="00013026" w:rsidRDefault="00000000">
      <w:pPr>
        <w:rPr>
          <w:rFonts w:ascii="Arial Regular" w:hAnsi="Arial Regular" w:cs="Arial Regular"/>
          <w:sz w:val="24"/>
        </w:rPr>
      </w:pPr>
      <w:r>
        <w:rPr>
          <w:rFonts w:ascii="Arial Regular" w:hAnsi="Arial Regular" w:cs="Arial Regular"/>
          <w:noProof/>
          <w:sz w:val="24"/>
        </w:rPr>
        <w:drawing>
          <wp:inline distT="0" distB="0" distL="114300" distR="114300" wp14:anchorId="7503F28C" wp14:editId="337CE18B">
            <wp:extent cx="5822950" cy="5101590"/>
            <wp:effectExtent l="0" t="0" r="19050" b="3810"/>
            <wp:docPr id="5" name="图片 5" descr="SuppleFigur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SuppleFigure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510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D5C1D" w14:textId="77777777" w:rsidR="00013026" w:rsidRDefault="00000000">
      <w:pPr>
        <w:rPr>
          <w:rFonts w:ascii="Arial Regular" w:hAnsi="Arial Regular" w:cs="Arial Regular"/>
          <w:sz w:val="24"/>
        </w:rPr>
      </w:pPr>
      <w:r>
        <w:rPr>
          <w:rFonts w:ascii="Arial Regular" w:hAnsi="Arial Regular" w:cs="Arial Regular"/>
          <w:sz w:val="24"/>
        </w:rPr>
        <w:t xml:space="preserve">ROC curves of TyG index and NLR for all-cause mortality (TyG index: 0.596, NLR: 0.605, </w:t>
      </w:r>
      <w:r>
        <w:rPr>
          <w:rFonts w:ascii="Arial Regular" w:hAnsi="Arial Regular" w:cs="Arial Regular"/>
          <w:i/>
          <w:iCs/>
          <w:sz w:val="24"/>
        </w:rPr>
        <w:t>p</w:t>
      </w:r>
      <w:r>
        <w:rPr>
          <w:rFonts w:ascii="Arial Regular" w:hAnsi="Arial Regular" w:cs="Arial Regular"/>
          <w:sz w:val="24"/>
        </w:rPr>
        <w:t xml:space="preserve"> = 0.220). The optimal threshold of TyG index was 8.981, with a sensitivity of 66.1% and a specificity of 52.6%.The optimal threshold of NLR was 4.941, the sensitivity was 48.9%, and the specificity was 68.6%. </w:t>
      </w:r>
    </w:p>
    <w:p w14:paraId="5B53A890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337688F6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65710761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3C34EF0D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55C3A541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4DA79F28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329194A1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15FFA8D3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0BFC734F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6EE04A34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2D8BA90C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61E10A73" w14:textId="77777777" w:rsidR="00013026" w:rsidRDefault="00013026">
      <w:pPr>
        <w:rPr>
          <w:rFonts w:ascii="Arial Regular" w:hAnsi="Arial Regular" w:cs="Arial Regular"/>
          <w:sz w:val="24"/>
        </w:rPr>
      </w:pPr>
    </w:p>
    <w:p w14:paraId="115AB67F" w14:textId="77777777" w:rsidR="00013026" w:rsidRDefault="00000000">
      <w:pPr>
        <w:rPr>
          <w:rFonts w:ascii="Arial Regular" w:hAnsi="Arial Regular" w:cs="Arial Regular"/>
          <w:sz w:val="24"/>
        </w:rPr>
      </w:pPr>
      <w:r>
        <w:rPr>
          <w:rFonts w:ascii="Arial Regular" w:hAnsi="Arial Regular" w:cs="Arial Regular"/>
          <w:b/>
          <w:bCs/>
          <w:sz w:val="24"/>
        </w:rPr>
        <w:t>Supplementary Figure 4.</w:t>
      </w:r>
      <w:r>
        <w:rPr>
          <w:rFonts w:ascii="Arial Regular" w:hAnsi="Arial Regular" w:cs="Arial Regular"/>
          <w:sz w:val="24"/>
        </w:rPr>
        <w:t xml:space="preserve"> Cumulative event rate curves of all-cause death in combination with TyG index and NLR</w:t>
      </w:r>
    </w:p>
    <w:p w14:paraId="6017DC02" w14:textId="77777777" w:rsidR="00013026" w:rsidRDefault="00000000">
      <w:pPr>
        <w:rPr>
          <w:rFonts w:ascii="Arial Regular" w:hAnsi="Arial Regular" w:cs="Arial Regular"/>
          <w:sz w:val="24"/>
        </w:rPr>
      </w:pPr>
      <w:r>
        <w:rPr>
          <w:rFonts w:ascii="Arial Regular" w:hAnsi="Arial Regular" w:cs="Arial Regular"/>
          <w:noProof/>
          <w:sz w:val="24"/>
        </w:rPr>
        <w:drawing>
          <wp:inline distT="0" distB="0" distL="114300" distR="114300" wp14:anchorId="58E54E90" wp14:editId="7003C593">
            <wp:extent cx="5504815" cy="5504815"/>
            <wp:effectExtent l="0" t="0" r="6985" b="6985"/>
            <wp:docPr id="4" name="图片 4" descr="联合后的KM曲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联合后的KM曲线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04815" cy="550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02992" w14:textId="77777777" w:rsidR="00013026" w:rsidRDefault="00013026">
      <w:pPr>
        <w:jc w:val="center"/>
        <w:rPr>
          <w:rFonts w:ascii="Arial Regular" w:hAnsi="Arial Regular" w:cs="Arial Regular"/>
          <w:sz w:val="24"/>
        </w:rPr>
      </w:pPr>
    </w:p>
    <w:p w14:paraId="1A278EA6" w14:textId="77777777" w:rsidR="00013026" w:rsidRDefault="00000000">
      <w:pPr>
        <w:jc w:val="left"/>
        <w:rPr>
          <w:rFonts w:ascii="Arial Regular" w:hAnsi="Arial Regular" w:cs="Arial Regular"/>
          <w:sz w:val="24"/>
        </w:rPr>
      </w:pPr>
      <w:r>
        <w:rPr>
          <w:rFonts w:ascii="Arial Regular" w:hAnsi="Arial Regular" w:cs="Arial Regular"/>
          <w:sz w:val="24"/>
        </w:rPr>
        <w:t>Cumulative event rate curves of death in combination with TyG index and NLR. TyG index, triglyceride-glucose index; NLR, neutrophil-lymphocyte ratio.</w:t>
      </w:r>
    </w:p>
    <w:p w14:paraId="7A982A27" w14:textId="77777777" w:rsidR="00013026" w:rsidRDefault="00013026">
      <w:pPr>
        <w:jc w:val="left"/>
        <w:rPr>
          <w:rFonts w:ascii="Arial Regular" w:hAnsi="Arial Regular" w:cs="Arial Regular"/>
          <w:sz w:val="24"/>
        </w:rPr>
      </w:pPr>
    </w:p>
    <w:p w14:paraId="3A960EAF" w14:textId="77777777" w:rsidR="00013026" w:rsidRDefault="00013026">
      <w:pPr>
        <w:jc w:val="left"/>
        <w:rPr>
          <w:rFonts w:ascii="Arial Regular" w:hAnsi="Arial Regular" w:cs="Arial Regular"/>
          <w:sz w:val="24"/>
        </w:rPr>
      </w:pPr>
    </w:p>
    <w:p w14:paraId="29BE146F" w14:textId="77777777" w:rsidR="00013026" w:rsidRDefault="00013026">
      <w:pPr>
        <w:jc w:val="left"/>
        <w:rPr>
          <w:rFonts w:ascii="Arial Regular" w:hAnsi="Arial Regular" w:cs="Arial Regular"/>
          <w:sz w:val="24"/>
        </w:rPr>
      </w:pPr>
    </w:p>
    <w:p w14:paraId="7C22BD63" w14:textId="77777777" w:rsidR="00013026" w:rsidRDefault="00013026">
      <w:pPr>
        <w:jc w:val="left"/>
        <w:rPr>
          <w:rFonts w:ascii="Arial Regular" w:hAnsi="Arial Regular" w:cs="Arial Regular"/>
          <w:sz w:val="24"/>
        </w:rPr>
      </w:pPr>
    </w:p>
    <w:p w14:paraId="5BC881B7" w14:textId="77777777" w:rsidR="00013026" w:rsidRDefault="00013026">
      <w:pPr>
        <w:jc w:val="left"/>
        <w:rPr>
          <w:rFonts w:ascii="Arial Regular" w:hAnsi="Arial Regular" w:cs="Arial Regular"/>
          <w:sz w:val="24"/>
        </w:rPr>
      </w:pPr>
    </w:p>
    <w:p w14:paraId="362521F9" w14:textId="77777777" w:rsidR="00013026" w:rsidRDefault="00013026">
      <w:pPr>
        <w:jc w:val="left"/>
        <w:rPr>
          <w:rFonts w:ascii="Arial Regular" w:hAnsi="Arial Regular" w:cs="Arial Regular"/>
          <w:sz w:val="24"/>
        </w:rPr>
      </w:pPr>
    </w:p>
    <w:p w14:paraId="499514CA" w14:textId="77777777" w:rsidR="00013026" w:rsidRDefault="00013026">
      <w:pPr>
        <w:jc w:val="left"/>
        <w:rPr>
          <w:rFonts w:ascii="Arial Regular" w:hAnsi="Arial Regular" w:cs="Arial Regular"/>
          <w:sz w:val="24"/>
        </w:rPr>
      </w:pPr>
    </w:p>
    <w:p w14:paraId="774B6039" w14:textId="77777777" w:rsidR="00013026" w:rsidRDefault="00013026">
      <w:pPr>
        <w:jc w:val="left"/>
        <w:rPr>
          <w:rFonts w:ascii="Arial Regular" w:hAnsi="Arial Regular" w:cs="Arial Regular"/>
          <w:sz w:val="24"/>
        </w:rPr>
      </w:pPr>
    </w:p>
    <w:p w14:paraId="21B7588E" w14:textId="77777777" w:rsidR="00013026" w:rsidRDefault="00013026">
      <w:pPr>
        <w:jc w:val="left"/>
        <w:rPr>
          <w:rFonts w:ascii="Arial Regular" w:hAnsi="Arial Regular" w:cs="Arial Regular"/>
          <w:sz w:val="24"/>
        </w:rPr>
      </w:pPr>
    </w:p>
    <w:p w14:paraId="11CCFE27" w14:textId="77777777" w:rsidR="00013026" w:rsidRDefault="00013026">
      <w:pPr>
        <w:jc w:val="left"/>
        <w:rPr>
          <w:rFonts w:ascii="Arial Regular" w:hAnsi="Arial Regular" w:cs="Arial Regular"/>
          <w:sz w:val="24"/>
        </w:rPr>
      </w:pPr>
    </w:p>
    <w:p w14:paraId="003EEB59" w14:textId="77777777" w:rsidR="00013026" w:rsidRDefault="00013026">
      <w:pPr>
        <w:jc w:val="left"/>
        <w:rPr>
          <w:rFonts w:ascii="Arial Regular" w:hAnsi="Arial Regular" w:cs="Arial Regular"/>
          <w:sz w:val="24"/>
        </w:rPr>
      </w:pPr>
    </w:p>
    <w:p w14:paraId="08D76C42" w14:textId="77777777" w:rsidR="00013026" w:rsidRDefault="00000000">
      <w:pPr>
        <w:rPr>
          <w:rFonts w:ascii="Arial Regular" w:hAnsi="Arial Regular" w:cs="Arial Regular"/>
          <w:sz w:val="24"/>
        </w:rPr>
      </w:pPr>
      <w:r>
        <w:rPr>
          <w:rFonts w:ascii="Arial Regular" w:hAnsi="Arial Regular" w:cs="Arial Regular"/>
          <w:b/>
          <w:bCs/>
          <w:sz w:val="24"/>
        </w:rPr>
        <w:t>Supplementary Figure 5.</w:t>
      </w:r>
      <w:r>
        <w:rPr>
          <w:rFonts w:ascii="Arial Regular" w:hAnsi="Arial Regular" w:cs="Arial Regular"/>
          <w:sz w:val="24"/>
        </w:rPr>
        <w:t xml:space="preserve"> Subgroup analysis of TyG index and NLR with all-cause death. </w:t>
      </w:r>
    </w:p>
    <w:p w14:paraId="4B60D8EC" w14:textId="77777777" w:rsidR="00013026" w:rsidRDefault="00000000" w:rsidP="00E76E09">
      <w:pPr>
        <w:jc w:val="center"/>
        <w:rPr>
          <w:rFonts w:ascii="Arial Regular" w:hAnsi="Arial Regular" w:cs="Arial Regular"/>
          <w:sz w:val="24"/>
        </w:rPr>
      </w:pPr>
      <w:r>
        <w:rPr>
          <w:rFonts w:ascii="Arial Regular" w:hAnsi="Arial Regular" w:cs="Arial Regular"/>
          <w:noProof/>
          <w:sz w:val="24"/>
        </w:rPr>
        <w:drawing>
          <wp:inline distT="0" distB="0" distL="114300" distR="114300" wp14:anchorId="5BBF7B62" wp14:editId="5BED367E">
            <wp:extent cx="6095365" cy="2433320"/>
            <wp:effectExtent l="0" t="0" r="635" b="5080"/>
            <wp:docPr id="7" name="图片 7" descr="SuppleFigur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SuppleFigure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95365" cy="243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EBFBF" w14:textId="73A339B2" w:rsidR="00013026" w:rsidRDefault="00013026">
      <w:pPr>
        <w:rPr>
          <w:rFonts w:ascii="Arial Regular" w:hAnsi="Arial Regular" w:cs="Arial Regular"/>
          <w:sz w:val="24"/>
        </w:rPr>
      </w:pPr>
    </w:p>
    <w:p w14:paraId="7CBEF420" w14:textId="77777777" w:rsidR="00013026" w:rsidRDefault="00000000" w:rsidP="00E76E09">
      <w:pPr>
        <w:numPr>
          <w:ilvl w:val="0"/>
          <w:numId w:val="3"/>
        </w:numPr>
        <w:rPr>
          <w:rFonts w:ascii="Arial Regular" w:hAnsi="Arial Regular" w:cs="Arial Regular"/>
          <w:sz w:val="24"/>
        </w:rPr>
      </w:pPr>
      <w:r>
        <w:rPr>
          <w:rFonts w:ascii="Arial Regular" w:hAnsi="Arial Regular" w:cs="Arial Regular" w:hint="eastAsia"/>
          <w:sz w:val="24"/>
        </w:rPr>
        <w:t xml:space="preserve">Forest plot for subgroup analysis of the TyG index and all-cause death. (B) </w:t>
      </w:r>
      <w:r w:rsidRPr="00E76E09">
        <w:rPr>
          <w:rFonts w:ascii="Arial Regular" w:hAnsi="Arial Regular" w:cs="Arial Regular"/>
          <w:sz w:val="24"/>
        </w:rPr>
        <w:t>Forest plot for subgroup analysis</w:t>
      </w:r>
      <w:r>
        <w:rPr>
          <w:rFonts w:ascii="Arial Regular" w:hAnsi="Arial Regular" w:cs="Arial Regular" w:hint="eastAsia"/>
          <w:sz w:val="24"/>
        </w:rPr>
        <w:t xml:space="preserve"> of NLR and all-cause death. </w:t>
      </w:r>
      <w:r>
        <w:rPr>
          <w:rFonts w:ascii="Arial Regular" w:hAnsi="Arial Regular" w:cs="Arial Regular"/>
          <w:sz w:val="24"/>
        </w:rPr>
        <w:t>TyG index, triglyceride-glucose index; NLR, neutrophil - lymphocyte ratio; DM, diabetes mellitus. Adjusted for Model II in the Cox regression analysis.</w:t>
      </w:r>
    </w:p>
    <w:p w14:paraId="44A8657D" w14:textId="77777777" w:rsidR="00013026" w:rsidRDefault="00013026">
      <w:pPr>
        <w:jc w:val="left"/>
        <w:rPr>
          <w:rFonts w:ascii="Arial Regular" w:hAnsi="Arial Regular" w:cs="Arial Regular"/>
          <w:sz w:val="24"/>
        </w:rPr>
      </w:pPr>
    </w:p>
    <w:sectPr w:rsidR="00013026">
      <w:footerReference w:type="even" r:id="rId12"/>
      <w:footerReference w:type="default" r:id="rId13"/>
      <w:footerReference w:type="first" r:id="rId14"/>
      <w:pgSz w:w="11906" w:h="16838"/>
      <w:pgMar w:top="1440" w:right="1366" w:bottom="1440" w:left="1366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CBE7585" w14:textId="77777777" w:rsidR="000165A2" w:rsidRDefault="000165A2" w:rsidP="00E76E09">
      <w:r>
        <w:separator/>
      </w:r>
    </w:p>
  </w:endnote>
  <w:endnote w:type="continuationSeparator" w:id="0">
    <w:p w14:paraId="5C48B8B2" w14:textId="77777777" w:rsidR="000165A2" w:rsidRDefault="000165A2" w:rsidP="00E76E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 Regular">
    <w:charset w:val="00"/>
    <w:family w:val="auto"/>
    <w:pitch w:val="default"/>
    <w:sig w:usb0="E0000AFF" w:usb1="00007843" w:usb2="00000001" w:usb3="00000000" w:csb0="400001BF" w:csb1="DFF70000"/>
  </w:font>
  <w:font w:name="Arial Regular">
    <w:altName w:val="Arial"/>
    <w:charset w:val="00"/>
    <w:family w:val="auto"/>
    <w:pitch w:val="default"/>
    <w:sig w:usb0="E0000AFF" w:usb1="00007843" w:usb2="00000001" w:usb3="00000000" w:csb0="400001BF" w:csb1="DFF70000"/>
  </w:font>
  <w:font w:name="Rockwell">
    <w:panose1 w:val="02060603020205020403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E9FDBD2" w14:textId="2D68DA7C" w:rsidR="00E76E09" w:rsidRDefault="00E76E09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2A927FEB" wp14:editId="2B76C2C0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386575270" name="Text Box 2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CAADED1" w14:textId="5232D2AA" w:rsidR="00E76E09" w:rsidRPr="00E76E09" w:rsidRDefault="00E76E09" w:rsidP="00E76E09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E76E09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A927FEB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formation Classification: General" style="position:absolute;left:0;text-align:left;margin-left:0;margin-top:0;width:163.55pt;height:25.5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" filled="f" stroked="f">
              <v:fill o:detectmouseclick="t"/>
              <v:textbox style="mso-fit-shape-to-text:t" inset="20pt,0,0,15pt">
                <w:txbxContent>
                  <w:p w14:paraId="4CAADED1" w14:textId="5232D2AA" w:rsidR="00E76E09" w:rsidRPr="00E76E09" w:rsidRDefault="00E76E09" w:rsidP="00E76E09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E76E09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869089B" w14:textId="2FA58670" w:rsidR="00E76E09" w:rsidRDefault="00E76E09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7C234390" wp14:editId="0370E3F2">
              <wp:simplePos x="869950" y="9898380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1606994747" name="Text Box 3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27CF31A" w14:textId="1E871CD7" w:rsidR="00E76E09" w:rsidRPr="00E76E09" w:rsidRDefault="00E76E09" w:rsidP="00E76E09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E76E09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C23439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formation Classification: General" style="position:absolute;left:0;text-align:left;margin-left:0;margin-top:0;width:163.55pt;height:25.5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" filled="f" stroked="f">
              <v:fill o:detectmouseclick="t"/>
              <v:textbox style="mso-fit-shape-to-text:t" inset="20pt,0,0,15pt">
                <w:txbxContent>
                  <w:p w14:paraId="527CF31A" w14:textId="1E871CD7" w:rsidR="00E76E09" w:rsidRPr="00E76E09" w:rsidRDefault="00E76E09" w:rsidP="00E76E09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E76E09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7FE16B" w14:textId="79F9CFFC" w:rsidR="00E76E09" w:rsidRDefault="00E76E09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7FACE151" wp14:editId="1BA8021B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1575087545" name="Text Box 1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49BBD20" w14:textId="35B32002" w:rsidR="00E76E09" w:rsidRPr="00E76E09" w:rsidRDefault="00E76E09" w:rsidP="00E76E09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E76E09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FACE151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Information Classification: General" style="position:absolute;left:0;text-align:left;margin-left:0;margin-top:0;width:163.55pt;height:25.55pt;z-index:25165824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" filled="f" stroked="f">
              <v:fill o:detectmouseclick="t"/>
              <v:textbox style="mso-fit-shape-to-text:t" inset="20pt,0,0,15pt">
                <w:txbxContent>
                  <w:p w14:paraId="149BBD20" w14:textId="35B32002" w:rsidR="00E76E09" w:rsidRPr="00E76E09" w:rsidRDefault="00E76E09" w:rsidP="00E76E09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E76E09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45FE640" w14:textId="77777777" w:rsidR="000165A2" w:rsidRDefault="000165A2" w:rsidP="00E76E09">
      <w:r>
        <w:separator/>
      </w:r>
    </w:p>
  </w:footnote>
  <w:footnote w:type="continuationSeparator" w:id="0">
    <w:p w14:paraId="4C8FCD1B" w14:textId="77777777" w:rsidR="000165A2" w:rsidRDefault="000165A2" w:rsidP="00E76E0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A7DBDCE7"/>
    <w:multiLevelType w:val="singleLevel"/>
    <w:tmpl w:val="A7DBDCE7"/>
    <w:lvl w:ilvl="0">
      <w:start w:val="1"/>
      <w:numFmt w:val="decimal"/>
      <w:suff w:val="space"/>
      <w:lvlText w:val="%1."/>
      <w:lvlJc w:val="left"/>
    </w:lvl>
  </w:abstractNum>
  <w:abstractNum w:abstractNumId="1" w15:restartNumberingAfterBreak="0">
    <w:nsid w:val="BF9E75BC"/>
    <w:multiLevelType w:val="singleLevel"/>
    <w:tmpl w:val="BF9E75BC"/>
    <w:lvl w:ilvl="0">
      <w:start w:val="1"/>
      <w:numFmt w:val="upperLetter"/>
      <w:suff w:val="space"/>
      <w:lvlText w:val="(%1)"/>
      <w:lvlJc w:val="left"/>
    </w:lvl>
  </w:abstractNum>
  <w:abstractNum w:abstractNumId="2" w15:restartNumberingAfterBreak="0">
    <w:nsid w:val="06E6DEBA"/>
    <w:multiLevelType w:val="singleLevel"/>
    <w:tmpl w:val="06E6DEBA"/>
    <w:lvl w:ilvl="0">
      <w:start w:val="1"/>
      <w:numFmt w:val="lowerLetter"/>
      <w:suff w:val="space"/>
      <w:lvlText w:val="%1."/>
      <w:lvlJc w:val="left"/>
    </w:lvl>
  </w:abstractNum>
  <w:num w:numId="1" w16cid:durableId="101263983">
    <w:abstractNumId w:val="0"/>
  </w:num>
  <w:num w:numId="2" w16cid:durableId="850726503">
    <w:abstractNumId w:val="2"/>
  </w:num>
  <w:num w:numId="3" w16cid:durableId="90144801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oNotDisplayPageBoundaries/>
  <w:embedSystemFonts/>
  <w:defaultTabStop w:val="420"/>
  <w:drawingGridVerticalSpacing w:val="156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B67F6B3A"/>
    <w:rsid w:val="B67F6B3A"/>
    <w:rsid w:val="00013026"/>
    <w:rsid w:val="000165A2"/>
    <w:rsid w:val="00475542"/>
    <w:rsid w:val="00E76E09"/>
    <w:rsid w:val="07F93540"/>
    <w:rsid w:val="3BEC921F"/>
    <w:rsid w:val="3FDB8BC9"/>
    <w:rsid w:val="53933A37"/>
    <w:rsid w:val="59F3C3DE"/>
    <w:rsid w:val="5EFE979F"/>
    <w:rsid w:val="63F7E179"/>
    <w:rsid w:val="67FB5209"/>
    <w:rsid w:val="6B7ED5F2"/>
    <w:rsid w:val="76FF6080"/>
    <w:rsid w:val="7777FF23"/>
    <w:rsid w:val="77E90F25"/>
    <w:rsid w:val="7BEFAAB8"/>
    <w:rsid w:val="7DD61743"/>
    <w:rsid w:val="7E7E88C4"/>
    <w:rsid w:val="7E7F6F22"/>
    <w:rsid w:val="7EDDFE87"/>
    <w:rsid w:val="7EFB0EC2"/>
    <w:rsid w:val="7FBEC531"/>
    <w:rsid w:val="7FDF453B"/>
    <w:rsid w:val="7FF76DCF"/>
    <w:rsid w:val="7FFD3CDF"/>
    <w:rsid w:val="8FFFDB45"/>
    <w:rsid w:val="AFFB7FAA"/>
    <w:rsid w:val="B57F1BF6"/>
    <w:rsid w:val="B67F6B3A"/>
    <w:rsid w:val="B7580AF2"/>
    <w:rsid w:val="BFDDA777"/>
    <w:rsid w:val="C3DF5616"/>
    <w:rsid w:val="CF72951C"/>
    <w:rsid w:val="DA3A744E"/>
    <w:rsid w:val="DE13F148"/>
    <w:rsid w:val="EBE2E5F3"/>
    <w:rsid w:val="EFDC9BC2"/>
    <w:rsid w:val="F6FB63AF"/>
    <w:rsid w:val="F7F7F643"/>
    <w:rsid w:val="F98ECA9C"/>
    <w:rsid w:val="FBADE626"/>
    <w:rsid w:val="FDFB2604"/>
    <w:rsid w:val="FF6D26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2FD95082"/>
  <w15:docId w15:val="{6575E8B1-A54D-4165-A197-87416DFE77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SimSun" w:hAnsi="Times New Roman" w:cs="Times New Roman"/>
        <w:lang w:val="en-NZ" w:eastAsia="en-N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  <w:lang w:val="en-US"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11">
    <w:name w:val="font11"/>
    <w:basedOn w:val="DefaultParagraphFont"/>
    <w:rPr>
      <w:rFonts w:ascii="Times New Roman Regular" w:eastAsia="Times New Roman Regular" w:hAnsi="Times New Roman Regular" w:cs="Times New Roman Regular" w:hint="default"/>
      <w:color w:val="000000"/>
      <w:sz w:val="24"/>
      <w:szCs w:val="24"/>
      <w:u w:val="none"/>
    </w:rPr>
  </w:style>
  <w:style w:type="paragraph" w:styleId="Revision">
    <w:name w:val="Revision"/>
    <w:hidden/>
    <w:uiPriority w:val="99"/>
    <w:unhideWhenUsed/>
    <w:rsid w:val="00E76E09"/>
    <w:rPr>
      <w:rFonts w:asciiTheme="minorHAnsi" w:eastAsiaTheme="minorEastAsia" w:hAnsiTheme="minorHAnsi" w:cstheme="minorBidi"/>
      <w:kern w:val="2"/>
      <w:sz w:val="21"/>
      <w:szCs w:val="24"/>
      <w:lang w:val="en-US" w:eastAsia="zh-CN"/>
    </w:rPr>
  </w:style>
  <w:style w:type="paragraph" w:styleId="Footer">
    <w:name w:val="footer"/>
    <w:basedOn w:val="Normal"/>
    <w:link w:val="FooterChar"/>
    <w:rsid w:val="00E76E0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E76E09"/>
    <w:rPr>
      <w:rFonts w:asciiTheme="minorHAnsi" w:eastAsiaTheme="minorEastAsia" w:hAnsiTheme="minorHAnsi" w:cstheme="minorBidi"/>
      <w:kern w:val="2"/>
      <w:sz w:val="21"/>
      <w:szCs w:val="24"/>
      <w:lang w:val="en-US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1151</Words>
  <Characters>6562</Characters>
  <Application>Microsoft Office Word</Application>
  <DocSecurity>0</DocSecurity>
  <Lines>54</Lines>
  <Paragraphs>15</Paragraphs>
  <ScaleCrop>false</ScaleCrop>
  <Company/>
  <LinksUpToDate>false</LinksUpToDate>
  <CharactersWithSpaces>7698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liyike</dc:creator>
  <cp:lastModifiedBy>Bartle, Claudia</cp:lastModifiedBy>
  <cp:revision>3</cp:revision>
  <dcterms:created xsi:type="dcterms:W3CDTF">2024-12-07T10:23:00Z</dcterms:created>
  <dcterms:modified xsi:type="dcterms:W3CDTF">2025-09-24T22:07:00Z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2052-12.1.22553.22553</vt:lpwstr>
  </property>
  <property fmtid="{D5CDD505-2E9C-101B-9397-08002B2CF9AE}" pid="3" name="ICV">
    <vt:lpwstr>9BE890ED93F0C8DC191A4D67C1A6645E_41</vt:lpwstr>
  </property>
  <property fmtid="{D5CDD505-2E9C-101B-9397-08002B2CF9AE}" pid="4" name="ClassificationContentMarkingFooterShapeIds">
    <vt:lpwstr>5de1edb9,170aaba6,5fc8cb3b</vt:lpwstr>
  </property>
  <property fmtid="{D5CDD505-2E9C-101B-9397-08002B2CF9AE}" pid="5" name="ClassificationContentMarkingFooterFontProps">
    <vt:lpwstr>#0078d7,9,Rockwell</vt:lpwstr>
  </property>
  <property fmtid="{D5CDD505-2E9C-101B-9397-08002B2CF9AE}" pid="6" name="ClassificationContentMarkingFooterText">
    <vt:lpwstr>Information Classification: General</vt:lpwstr>
  </property>
  <property fmtid="{D5CDD505-2E9C-101B-9397-08002B2CF9AE}" pid="7" name="MSIP_Label_2bbab825-a111-45e4-86a1-18cee0005896_Enabled">
    <vt:lpwstr>true</vt:lpwstr>
  </property>
  <property fmtid="{D5CDD505-2E9C-101B-9397-08002B2CF9AE}" pid="8" name="MSIP_Label_2bbab825-a111-45e4-86a1-18cee0005896_SetDate">
    <vt:lpwstr>2025-09-24T22:07:11Z</vt:lpwstr>
  </property>
  <property fmtid="{D5CDD505-2E9C-101B-9397-08002B2CF9AE}" pid="9" name="MSIP_Label_2bbab825-a111-45e4-86a1-18cee0005896_Method">
    <vt:lpwstr>Standard</vt:lpwstr>
  </property>
  <property fmtid="{D5CDD505-2E9C-101B-9397-08002B2CF9AE}" pid="10" name="MSIP_Label_2bbab825-a111-45e4-86a1-18cee0005896_Name">
    <vt:lpwstr>2bbab825-a111-45e4-86a1-18cee0005896</vt:lpwstr>
  </property>
  <property fmtid="{D5CDD505-2E9C-101B-9397-08002B2CF9AE}" pid="11" name="MSIP_Label_2bbab825-a111-45e4-86a1-18cee0005896_SiteId">
    <vt:lpwstr>2567d566-604c-408a-8a60-55d0dc9d9d6b</vt:lpwstr>
  </property>
  <property fmtid="{D5CDD505-2E9C-101B-9397-08002B2CF9AE}" pid="12" name="MSIP_Label_2bbab825-a111-45e4-86a1-18cee0005896_ActionId">
    <vt:lpwstr>dcdc51e4-7b9e-43e7-8b01-e5d0059fd2c3</vt:lpwstr>
  </property>
  <property fmtid="{D5CDD505-2E9C-101B-9397-08002B2CF9AE}" pid="13" name="MSIP_Label_2bbab825-a111-45e4-86a1-18cee0005896_ContentBits">
    <vt:lpwstr>2</vt:lpwstr>
  </property>
  <property fmtid="{D5CDD505-2E9C-101B-9397-08002B2CF9AE}" pid="14" name="MSIP_Label_2bbab825-a111-45e4-86a1-18cee0005896_Tag">
    <vt:lpwstr>10, 3, 0, 1</vt:lpwstr>
  </property>
</Properties>
</file>