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3EC11D">
      <w:pPr>
        <w:spacing w:line="360" w:lineRule="auto"/>
        <w:rPr>
          <w:rFonts w:ascii="Georgia" w:hAnsi="Georgia" w:cs="Calibri"/>
          <w:b/>
          <w:bCs/>
          <w:sz w:val="24"/>
          <w:szCs w:val="28"/>
        </w:rPr>
      </w:pPr>
      <w:r>
        <w:rPr>
          <w:rFonts w:hint="eastAsia" w:ascii="Georgia" w:hAnsi="Georgia" w:cs="Calibri"/>
          <w:b/>
          <w:bCs/>
          <w:sz w:val="24"/>
          <w:szCs w:val="28"/>
        </w:rPr>
        <w:t>Macrophage-Derived Exosomal BMPR2 Mediates Alveolar Epithelial Repair and Cellular Crosstalk in Acute Lung Injury</w:t>
      </w:r>
    </w:p>
    <w:p w14:paraId="1EA829EE">
      <w:pPr>
        <w:spacing w:line="360" w:lineRule="auto"/>
        <w:rPr>
          <w:rFonts w:ascii="Georgia" w:hAnsi="Georgia" w:cs="Calibri"/>
        </w:rPr>
      </w:pPr>
      <w:r>
        <w:rPr>
          <w:rFonts w:ascii="Georgia" w:hAnsi="Georgia" w:cs="Calibri"/>
        </w:rPr>
        <w:t>Xiang Yun</w:t>
      </w:r>
      <w:r>
        <w:rPr>
          <w:rFonts w:hint="eastAsia" w:ascii="Georgia" w:hAnsi="Georgia" w:cs="Calibri"/>
          <w:vertAlign w:val="superscript"/>
          <w:lang w:val="en-US" w:eastAsia="zh-CN"/>
        </w:rPr>
        <w:t>1-3</w:t>
      </w:r>
      <w:r>
        <w:rPr>
          <w:rFonts w:ascii="Georgia" w:hAnsi="Georgia" w:cs="Calibri"/>
        </w:rPr>
        <w:t>,</w:t>
      </w:r>
      <w:r>
        <w:rPr>
          <w:rFonts w:hint="eastAsia" w:ascii="Georgia" w:hAnsi="Georgia" w:cs="Calibri"/>
          <w:lang w:val="en-US" w:eastAsia="zh-CN"/>
        </w:rPr>
        <w:t xml:space="preserve"> </w:t>
      </w:r>
      <w:r>
        <w:rPr>
          <w:rFonts w:ascii="Georgia" w:hAnsi="Georgia" w:cs="Calibri"/>
        </w:rPr>
        <w:t>Fei Li</w:t>
      </w:r>
      <w:r>
        <w:rPr>
          <w:rFonts w:hint="eastAsia" w:ascii="Georgia" w:hAnsi="Georgia" w:cs="Calibri"/>
          <w:vertAlign w:val="superscript"/>
          <w:lang w:val="en-US" w:eastAsia="zh-CN"/>
        </w:rPr>
        <w:t>1</w:t>
      </w:r>
      <w:r>
        <w:rPr>
          <w:rFonts w:ascii="Georgia" w:hAnsi="Georgia" w:cs="Calibri"/>
        </w:rPr>
        <w:t>, Zhen Chen</w:t>
      </w:r>
      <w:r>
        <w:rPr>
          <w:rFonts w:hint="eastAsia" w:ascii="Georgia" w:hAnsi="Georgia" w:cs="Calibri"/>
          <w:vertAlign w:val="superscript"/>
          <w:lang w:val="en-US" w:eastAsia="zh-CN"/>
        </w:rPr>
        <w:t>4</w:t>
      </w:r>
      <w:r>
        <w:rPr>
          <w:rFonts w:ascii="Georgia" w:hAnsi="Georgia" w:cs="Calibri"/>
        </w:rPr>
        <w:t xml:space="preserve">, </w:t>
      </w:r>
      <w:r>
        <w:rPr>
          <w:rFonts w:hint="eastAsia" w:ascii="Georgia" w:hAnsi="Georgia" w:cs="Calibri"/>
          <w:lang w:val="en-US" w:eastAsia="zh-CN"/>
        </w:rPr>
        <w:t>Jiahua Meng</w:t>
      </w:r>
      <w:r>
        <w:rPr>
          <w:rFonts w:hint="eastAsia" w:ascii="Georgia" w:hAnsi="Georgia" w:cs="Calibri"/>
          <w:vertAlign w:val="superscript"/>
          <w:lang w:val="en-US" w:eastAsia="zh-CN"/>
        </w:rPr>
        <w:t>1</w:t>
      </w:r>
      <w:r>
        <w:rPr>
          <w:rFonts w:hint="eastAsia" w:ascii="Georgia" w:hAnsi="Georgia" w:cs="Calibri"/>
          <w:lang w:val="en-US" w:eastAsia="zh-CN"/>
        </w:rPr>
        <w:t>,</w:t>
      </w:r>
      <w:r>
        <w:rPr>
          <w:rFonts w:ascii="Georgia" w:hAnsi="Georgia" w:cs="Calibri"/>
        </w:rPr>
        <w:t xml:space="preserve"> Lin Zhang</w:t>
      </w:r>
      <w:r>
        <w:rPr>
          <w:rFonts w:hint="eastAsia" w:ascii="Georgia" w:hAnsi="Georgia" w:cs="Calibri"/>
          <w:vertAlign w:val="superscript"/>
          <w:lang w:val="en-US" w:eastAsia="zh-CN"/>
        </w:rPr>
        <w:t>2,3,5</w:t>
      </w:r>
      <w:r>
        <w:rPr>
          <w:rFonts w:ascii="Georgia" w:hAnsi="Georgia" w:cs="Calibri"/>
        </w:rPr>
        <w:t>, Juxiang Yuan</w:t>
      </w:r>
      <w:r>
        <w:rPr>
          <w:rFonts w:hint="eastAsia" w:ascii="Georgia" w:hAnsi="Georgia" w:cs="Calibri"/>
          <w:vertAlign w:val="superscript"/>
          <w:lang w:val="en-US" w:eastAsia="zh-CN"/>
        </w:rPr>
        <w:t>1</w:t>
      </w:r>
    </w:p>
    <w:p w14:paraId="3E80B5D3">
      <w:pPr>
        <w:spacing w:line="360" w:lineRule="auto"/>
        <w:rPr>
          <w:rFonts w:ascii="Georgia" w:hAnsi="Georgia" w:cs="Calibri"/>
        </w:rPr>
      </w:pPr>
    </w:p>
    <w:p w14:paraId="282426CC">
      <w:pPr>
        <w:spacing w:line="360" w:lineRule="auto"/>
        <w:rPr>
          <w:rFonts w:ascii="Georgia" w:hAnsi="Georgia" w:cs="Calibri"/>
          <w:i w:val="0"/>
          <w:iCs w:val="0"/>
        </w:rPr>
      </w:pPr>
      <w:r>
        <w:rPr>
          <w:rFonts w:hint="eastAsia" w:ascii="Georgia" w:hAnsi="Georgia" w:cs="Calibri"/>
          <w:vertAlign w:val="baseline"/>
          <w:lang w:val="en-US" w:eastAsia="zh-CN"/>
        </w:rPr>
        <w:t>1.</w:t>
      </w:r>
      <w:r>
        <w:rPr>
          <w:rFonts w:ascii="Georgia" w:hAnsi="Georgia" w:cs="Calibri"/>
        </w:rPr>
        <w:t xml:space="preserve"> </w:t>
      </w:r>
      <w:r>
        <w:rPr>
          <w:rFonts w:ascii="Georgia" w:hAnsi="Georgia" w:cs="Calibri"/>
          <w:i w:val="0"/>
          <w:iCs w:val="0"/>
        </w:rPr>
        <w:t>School of Public Health, North China University of Science and Technology, Tangshan 063000, China.</w:t>
      </w:r>
    </w:p>
    <w:p w14:paraId="7E8C50D6">
      <w:pPr>
        <w:spacing w:line="360" w:lineRule="auto"/>
        <w:rPr>
          <w:rFonts w:ascii="Georgia" w:hAnsi="Georgia" w:cs="Calibri"/>
        </w:rPr>
      </w:pPr>
      <w:r>
        <w:rPr>
          <w:rFonts w:hint="eastAsia" w:ascii="Georgia" w:hAnsi="Georgia" w:cs="Calibri"/>
          <w:lang w:val="en-US" w:eastAsia="zh-CN"/>
        </w:rPr>
        <w:t>2.</w:t>
      </w:r>
      <w:r>
        <w:rPr>
          <w:rFonts w:ascii="Georgia" w:hAnsi="Georgia" w:cs="Calibri"/>
        </w:rPr>
        <w:t xml:space="preserve"> </w:t>
      </w:r>
      <w:r>
        <w:rPr>
          <w:rFonts w:ascii="Georgia" w:hAnsi="Georgia" w:cs="Calibri"/>
          <w:i w:val="0"/>
          <w:iCs w:val="0"/>
        </w:rPr>
        <w:t xml:space="preserve">Clinical Medical Research Center for Women and Children Diseases, Shandong Provincial Maternal and Child Health Care Hospital Affiliated to </w:t>
      </w:r>
      <w:r>
        <w:rPr>
          <w:rFonts w:hint="eastAsia" w:ascii="Georgia" w:hAnsi="Georgia" w:cs="Calibri"/>
          <w:i w:val="0"/>
          <w:iCs w:val="0"/>
          <w:lang w:val="en-US" w:eastAsia="zh-CN"/>
        </w:rPr>
        <w:t>Qingdao</w:t>
      </w:r>
      <w:r>
        <w:rPr>
          <w:rFonts w:ascii="Georgia" w:hAnsi="Georgia" w:cs="Calibri"/>
          <w:i w:val="0"/>
          <w:iCs w:val="0"/>
        </w:rPr>
        <w:t xml:space="preserve"> University, Jinan 250001, China</w:t>
      </w:r>
      <w:r>
        <w:rPr>
          <w:rFonts w:ascii="Georgia" w:hAnsi="Georgia" w:cs="Calibri"/>
        </w:rPr>
        <w:t>.</w:t>
      </w:r>
    </w:p>
    <w:p w14:paraId="56F30452">
      <w:pPr>
        <w:spacing w:line="360" w:lineRule="auto"/>
        <w:rPr>
          <w:rFonts w:ascii="Georgia" w:hAnsi="Georgia" w:cs="Calibri"/>
          <w:i w:val="0"/>
          <w:iCs w:val="0"/>
        </w:rPr>
      </w:pPr>
      <w:r>
        <w:rPr>
          <w:rFonts w:hint="eastAsia" w:ascii="Georgia" w:hAnsi="Georgia" w:cs="Calibri"/>
          <w:lang w:val="en-US" w:eastAsia="zh-CN"/>
        </w:rPr>
        <w:t>3.</w:t>
      </w:r>
      <w:r>
        <w:rPr>
          <w:rFonts w:ascii="Georgia" w:hAnsi="Georgia" w:cs="Calibri"/>
        </w:rPr>
        <w:t xml:space="preserve"> </w:t>
      </w:r>
      <w:r>
        <w:rPr>
          <w:rFonts w:ascii="Georgia" w:hAnsi="Georgia" w:cs="Calibri"/>
          <w:i w:val="0"/>
          <w:iCs w:val="0"/>
        </w:rPr>
        <w:t>Key Laboratory of Occupational Exposure and Fertility Preservation for Women of Shandong Health Commission,</w:t>
      </w:r>
      <w:r>
        <w:rPr>
          <w:rFonts w:hint="eastAsia" w:ascii="Georgia" w:hAnsi="Georgia" w:cs="Calibri"/>
          <w:i w:val="0"/>
          <w:iCs w:val="0"/>
          <w:lang w:val="en-US" w:eastAsia="zh-CN"/>
        </w:rPr>
        <w:t xml:space="preserve"> </w:t>
      </w:r>
      <w:r>
        <w:rPr>
          <w:rFonts w:ascii="Georgia" w:hAnsi="Georgia" w:cs="Calibri"/>
          <w:i w:val="0"/>
          <w:iCs w:val="0"/>
        </w:rPr>
        <w:t xml:space="preserve">Shandong Provincial Maternal and Child Health Care Hospital Affiliated to </w:t>
      </w:r>
      <w:r>
        <w:rPr>
          <w:rFonts w:hint="eastAsia" w:ascii="Georgia" w:hAnsi="Georgia" w:cs="Calibri"/>
          <w:i w:val="0"/>
          <w:iCs w:val="0"/>
          <w:lang w:val="en-US" w:eastAsia="zh-CN"/>
        </w:rPr>
        <w:t>Qingdao</w:t>
      </w:r>
      <w:r>
        <w:rPr>
          <w:rFonts w:ascii="Georgia" w:hAnsi="Georgia" w:cs="Calibri"/>
          <w:i w:val="0"/>
          <w:iCs w:val="0"/>
        </w:rPr>
        <w:t xml:space="preserve"> University</w:t>
      </w:r>
      <w:r>
        <w:rPr>
          <w:rFonts w:hint="eastAsia" w:ascii="Georgia" w:hAnsi="Georgia" w:cs="Calibri"/>
          <w:i w:val="0"/>
          <w:iCs w:val="0"/>
          <w:lang w:val="en-US" w:eastAsia="zh-CN"/>
        </w:rPr>
        <w:t>,</w:t>
      </w:r>
      <w:r>
        <w:rPr>
          <w:rFonts w:ascii="Georgia" w:hAnsi="Georgia" w:cs="Calibri"/>
          <w:i w:val="0"/>
          <w:iCs w:val="0"/>
        </w:rPr>
        <w:t xml:space="preserve"> Jinan 250001, China.</w:t>
      </w:r>
    </w:p>
    <w:p w14:paraId="4EB04B5D">
      <w:pPr>
        <w:spacing w:line="360" w:lineRule="auto"/>
        <w:rPr>
          <w:rFonts w:ascii="Georgia" w:hAnsi="Georgia" w:cs="Calibri"/>
          <w:i w:val="0"/>
          <w:iCs w:val="0"/>
        </w:rPr>
      </w:pPr>
      <w:r>
        <w:rPr>
          <w:rFonts w:hint="eastAsia" w:ascii="Georgia" w:hAnsi="Georgia" w:cs="Calibri"/>
          <w:i w:val="0"/>
          <w:iCs w:val="0"/>
          <w:lang w:val="en-US" w:eastAsia="zh-CN"/>
        </w:rPr>
        <w:t xml:space="preserve">4. </w:t>
      </w:r>
      <w:r>
        <w:rPr>
          <w:rFonts w:ascii="Georgia" w:hAnsi="Georgia" w:cs="Calibri"/>
          <w:i w:val="0"/>
          <w:iCs w:val="0"/>
        </w:rPr>
        <w:t>School of Public Health, Shandong Second Medical University, Weifang 261053, China</w:t>
      </w:r>
    </w:p>
    <w:p w14:paraId="7B2F3E9F">
      <w:pPr>
        <w:spacing w:line="360" w:lineRule="auto"/>
        <w:rPr>
          <w:rFonts w:hint="default" w:ascii="Georgia" w:hAnsi="Georgia" w:cs="Calibri"/>
          <w:lang w:val="en-US"/>
        </w:rPr>
      </w:pPr>
      <w:r>
        <w:rPr>
          <w:rFonts w:hint="eastAsia" w:ascii="Georgia" w:hAnsi="Georgia" w:cs="Calibri"/>
          <w:lang w:val="en-US" w:eastAsia="zh-CN"/>
        </w:rPr>
        <w:t>5.</w:t>
      </w:r>
      <w:r>
        <w:rPr>
          <w:rFonts w:ascii="Georgia" w:hAnsi="Georgia" w:cs="Calibri"/>
        </w:rPr>
        <w:t xml:space="preserve"> </w:t>
      </w:r>
      <w:r>
        <w:rPr>
          <w:rFonts w:hint="eastAsia" w:ascii="Georgia" w:hAnsi="Georgia" w:cs="Calibri"/>
          <w:lang w:val="en-US" w:eastAsia="zh-CN"/>
        </w:rPr>
        <w:t xml:space="preserve">Henan Medical Key Laboratory for Research of Trauma and Orthopedics, </w:t>
      </w:r>
      <w:r>
        <w:rPr>
          <w:rFonts w:ascii="Georgia" w:hAnsi="Georgia" w:cs="Calibri"/>
          <w:lang w:val="en-US" w:eastAsia="zh-CN"/>
        </w:rPr>
        <w:t>The Third Affiliated Hospital of Xinxiang Medical University, Xinxiang 453000, China</w:t>
      </w:r>
      <w:r>
        <w:rPr>
          <w:rFonts w:hint="eastAsia" w:ascii="Georgia" w:hAnsi="Georgia" w:cs="Calibri"/>
          <w:lang w:val="en-US" w:eastAsia="zh-CN"/>
        </w:rPr>
        <w:t>.</w:t>
      </w:r>
    </w:p>
    <w:p w14:paraId="64CD6FD0">
      <w:pPr>
        <w:spacing w:line="360" w:lineRule="auto"/>
        <w:rPr>
          <w:rFonts w:ascii="Georgia" w:hAnsi="Georgia" w:cs="Calibri"/>
        </w:rPr>
      </w:pPr>
    </w:p>
    <w:p w14:paraId="02F5D6F7">
      <w:pPr>
        <w:spacing w:line="360" w:lineRule="auto"/>
        <w:rPr>
          <w:rFonts w:ascii="Georgia" w:hAnsi="Georgia" w:cs="Calibri"/>
        </w:rPr>
      </w:pPr>
    </w:p>
    <w:p w14:paraId="2C447834">
      <w:pPr>
        <w:spacing w:line="360" w:lineRule="auto"/>
        <w:rPr>
          <w:rFonts w:ascii="Georgia" w:hAnsi="Georgia" w:cs="Calibri"/>
          <w:b/>
          <w:bCs/>
        </w:rPr>
      </w:pPr>
      <w:r>
        <w:rPr>
          <w:rFonts w:ascii="Georgia" w:hAnsi="Georgia" w:cs="Calibri"/>
          <w:b/>
          <w:bCs/>
        </w:rPr>
        <w:t>Correspondence to:</w:t>
      </w:r>
    </w:p>
    <w:p w14:paraId="59C43EC1">
      <w:pPr>
        <w:spacing w:line="360" w:lineRule="auto"/>
        <w:rPr>
          <w:rFonts w:ascii="Georgia" w:hAnsi="Georgia" w:cs="Calibri"/>
          <w:b/>
          <w:snapToGrid w:val="0"/>
          <w:kern w:val="0"/>
          <w:szCs w:val="21"/>
        </w:rPr>
      </w:pPr>
      <w:r>
        <w:rPr>
          <w:rFonts w:ascii="Georgia" w:hAnsi="Georgia" w:cs="Calibri"/>
          <w:b/>
          <w:snapToGrid w:val="0"/>
          <w:kern w:val="0"/>
          <w:szCs w:val="21"/>
        </w:rPr>
        <w:t xml:space="preserve">Juxiang Yuan </w:t>
      </w:r>
      <w:r>
        <w:rPr>
          <w:rFonts w:ascii="Georgia" w:hAnsi="Georgia" w:cs="Calibri"/>
          <w:snapToGrid w:val="0"/>
          <w:kern w:val="0"/>
          <w:szCs w:val="21"/>
        </w:rPr>
        <w:t>M. D.</w:t>
      </w:r>
    </w:p>
    <w:p w14:paraId="58A8571E">
      <w:pPr>
        <w:spacing w:line="360" w:lineRule="auto"/>
        <w:rPr>
          <w:rFonts w:ascii="Georgia" w:hAnsi="Georgia" w:cs="Calibri"/>
          <w:snapToGrid w:val="0"/>
          <w:kern w:val="0"/>
          <w:szCs w:val="21"/>
        </w:rPr>
      </w:pPr>
      <w:r>
        <w:rPr>
          <w:rFonts w:ascii="Georgia" w:hAnsi="Georgia" w:cs="Calibri"/>
          <w:snapToGrid w:val="0"/>
          <w:kern w:val="0"/>
          <w:szCs w:val="21"/>
        </w:rPr>
        <w:t>School of Public Health, School of Public Health, North China University of Science and Technology, Tangshan 063000, China. Email: yuanjx@ncst.edu.cn</w:t>
      </w:r>
    </w:p>
    <w:p w14:paraId="4D22EE0B">
      <w:pPr>
        <w:spacing w:line="360" w:lineRule="auto"/>
        <w:rPr>
          <w:rFonts w:ascii="Georgia" w:hAnsi="Georgia" w:cs="Calibri"/>
          <w:snapToGrid w:val="0"/>
          <w:kern w:val="0"/>
          <w:szCs w:val="21"/>
        </w:rPr>
      </w:pPr>
      <w:r>
        <w:rPr>
          <w:rFonts w:ascii="Georgia" w:hAnsi="Georgia" w:cs="Calibri"/>
          <w:b/>
          <w:snapToGrid w:val="0"/>
          <w:kern w:val="0"/>
          <w:szCs w:val="21"/>
        </w:rPr>
        <w:t>Lin Zhang</w:t>
      </w:r>
      <w:r>
        <w:rPr>
          <w:rFonts w:ascii="Georgia" w:hAnsi="Georgia" w:cs="Calibri"/>
          <w:snapToGrid w:val="0"/>
          <w:kern w:val="0"/>
          <w:szCs w:val="21"/>
        </w:rPr>
        <w:t xml:space="preserve"> M. D.</w:t>
      </w:r>
    </w:p>
    <w:p w14:paraId="19650E99">
      <w:pPr>
        <w:spacing w:line="360" w:lineRule="auto"/>
        <w:rPr>
          <w:rFonts w:ascii="Calibri" w:hAnsi="Calibri" w:cs="Calibri"/>
          <w:snapToGrid w:val="0"/>
          <w:kern w:val="0"/>
          <w:szCs w:val="21"/>
        </w:rPr>
      </w:pPr>
      <w:r>
        <w:rPr>
          <w:rFonts w:ascii="Georgia" w:hAnsi="Georgia" w:cs="Calibri"/>
          <w:snapToGrid w:val="0"/>
          <w:kern w:val="0"/>
          <w:szCs w:val="21"/>
        </w:rPr>
        <w:t xml:space="preserve">Clinical Medical Research Center for Women and Children Diseases, Shandong Provincial Maternal and Child Health Care Hospital Affiliated to Qingdao University, Jinan 250001, China. Tel: +86-531-68795920, Email: </w:t>
      </w:r>
      <w:r>
        <w:fldChar w:fldCharType="begin"/>
      </w:r>
      <w:r>
        <w:instrText xml:space="preserve"> HYPERLINK "mailto:zhanglin8901@sdu.edu.cn" </w:instrText>
      </w:r>
      <w:r>
        <w:fldChar w:fldCharType="separate"/>
      </w:r>
      <w:r>
        <w:rPr>
          <w:rFonts w:ascii="Georgia" w:hAnsi="Georgia" w:cs="Calibri"/>
          <w:snapToGrid w:val="0"/>
          <w:kern w:val="0"/>
          <w:szCs w:val="21"/>
        </w:rPr>
        <w:t>zhanglin8901@sdu.edu.cn</w:t>
      </w:r>
      <w:r>
        <w:rPr>
          <w:rFonts w:ascii="Georgia" w:hAnsi="Georgia" w:cs="Calibri"/>
          <w:snapToGrid w:val="0"/>
          <w:kern w:val="0"/>
          <w:szCs w:val="21"/>
        </w:rPr>
        <w:fldChar w:fldCharType="end"/>
      </w:r>
      <w:r>
        <w:rPr>
          <w:rFonts w:ascii="Calibri" w:hAnsi="Calibri" w:cs="Calibri"/>
          <w:snapToGrid w:val="0"/>
          <w:kern w:val="0"/>
          <w:szCs w:val="21"/>
        </w:rPr>
        <w:br w:type="page"/>
      </w:r>
    </w:p>
    <w:p w14:paraId="17CB58D7">
      <w:pPr>
        <w:rPr>
          <w:rFonts w:hint="default" w:ascii="Georgia" w:hAnsi="Georgia" w:cs="Georgia"/>
          <w:b/>
          <w:bCs/>
        </w:rPr>
      </w:pPr>
      <w:r>
        <w:rPr>
          <w:rFonts w:hint="default" w:ascii="Georgia" w:hAnsi="Georgia" w:cs="Georgia"/>
          <w:b/>
          <w:bCs/>
        </w:rPr>
        <w:t>Supplementary Figures</w:t>
      </w:r>
    </w:p>
    <w:p w14:paraId="01A9D5F1">
      <w:pPr>
        <w:rPr>
          <w:rFonts w:hint="eastAsia" w:ascii="Calibri" w:hAnsi="Calibri" w:cs="Calibri" w:eastAsiaTheme="minorEastAsia"/>
          <w:lang w:eastAsia="zh-CN"/>
        </w:rPr>
      </w:pPr>
      <w:r>
        <w:rPr>
          <w:rFonts w:hint="eastAsia" w:ascii="Calibri" w:hAnsi="Calibri" w:cs="Calibri" w:eastAsiaTheme="minorEastAsia"/>
          <w:lang w:eastAsia="zh-CN"/>
        </w:rPr>
        <w:drawing>
          <wp:inline distT="0" distB="0" distL="114300" distR="114300">
            <wp:extent cx="5269230" cy="5271135"/>
            <wp:effectExtent l="0" t="0" r="3810" b="1905"/>
            <wp:docPr id="3" name="图片 3" descr="Figure 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1F5E">
      <w:pPr>
        <w:rPr>
          <w:rFonts w:hint="default" w:ascii="Georgia" w:hAnsi="Georgia" w:cs="Georgia" w:eastAsiaTheme="minorEastAsia"/>
          <w:lang w:val="en-US" w:eastAsia="zh-CN"/>
        </w:rPr>
      </w:pPr>
      <w:r>
        <w:rPr>
          <w:rFonts w:hint="default" w:ascii="Georgia" w:hAnsi="Georgia" w:cs="Georgia"/>
          <w:b/>
          <w:bCs/>
        </w:rPr>
        <w:t>Figure S</w:t>
      </w:r>
      <w:r>
        <w:rPr>
          <w:rFonts w:hint="default" w:ascii="Georgia" w:hAnsi="Georgia" w:cs="Georgia"/>
          <w:b/>
          <w:bCs/>
          <w:lang w:val="en-US" w:eastAsia="zh-CN"/>
        </w:rPr>
        <w:t>1</w:t>
      </w:r>
      <w:r>
        <w:rPr>
          <w:rFonts w:hint="default" w:ascii="Georgia" w:hAnsi="Georgia" w:cs="Georgia"/>
          <w:b/>
          <w:bCs/>
        </w:rPr>
        <w:t>. Effects of different exosome concentrations on type II alveolar epithelial cell proliferation and viability. (A)</w:t>
      </w:r>
      <w:r>
        <w:rPr>
          <w:rFonts w:hint="default" w:ascii="Georgia" w:hAnsi="Georgia" w:cs="Georgia"/>
        </w:rPr>
        <w:t xml:space="preserve"> Representative EdU staining images showed the cell proliferation of different concentrations of extracellular vesicles in the Ctrl and Blast groups</w:t>
      </w:r>
      <w:r>
        <w:rPr>
          <w:rFonts w:hint="eastAsia" w:ascii="Georgia" w:hAnsi="Georgia" w:cs="Georgia"/>
          <w:lang w:val="en-US" w:eastAsia="zh-CN"/>
        </w:rPr>
        <w:t>.</w:t>
      </w:r>
      <w:r>
        <w:rPr>
          <w:rFonts w:hint="default" w:ascii="Georgia" w:hAnsi="Georgia" w:cs="Georgia"/>
        </w:rPr>
        <w:t xml:space="preserve"> Blue: Hoechst-stained nuclei; Red: EdU-positive cells. Scale bar = 100 μm.</w:t>
      </w:r>
      <w:r>
        <w:rPr>
          <w:rFonts w:hint="default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  <w:b/>
          <w:bCs/>
        </w:rPr>
        <w:t>(B)</w:t>
      </w:r>
      <w:r>
        <w:rPr>
          <w:rFonts w:hint="default" w:ascii="Georgia" w:hAnsi="Georgia" w:cs="Georgia"/>
        </w:rPr>
        <w:t xml:space="preserve"> Quantification of EdU-positive cells</w:t>
      </w:r>
      <w:r>
        <w:rPr>
          <w:rFonts w:hint="eastAsia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analysis across different concentrations of extracellular vesicles</w:t>
      </w:r>
      <w:r>
        <w:rPr>
          <w:rFonts w:hint="eastAsia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in the Ctrl and Blast groups</w:t>
      </w:r>
      <w:r>
        <w:rPr>
          <w:rFonts w:hint="eastAsia" w:ascii="Georgia" w:hAnsi="Georgia" w:cs="Georgia"/>
          <w:lang w:val="en-US" w:eastAsia="zh-CN"/>
        </w:rPr>
        <w:t>.</w:t>
      </w:r>
      <w:r>
        <w:rPr>
          <w:rFonts w:hint="eastAsia" w:ascii="Georgia" w:hAnsi="Georgia" w:cs="Georgia"/>
          <w:b/>
          <w:bCs/>
          <w:lang w:val="en-US" w:eastAsia="zh-CN"/>
        </w:rPr>
        <w:t xml:space="preserve"> </w:t>
      </w:r>
      <w:r>
        <w:rPr>
          <w:rFonts w:hint="default" w:ascii="Georgia" w:hAnsi="Georgia" w:cs="Georgia"/>
        </w:rPr>
        <w:t>Data are presented as mean ± SD. Statistical significance: *</w:t>
      </w:r>
      <w:bookmarkStart w:id="0" w:name="_GoBack"/>
      <w:bookmarkEnd w:id="0"/>
      <w:r>
        <w:rPr>
          <w:rFonts w:hint="default" w:ascii="Georgia" w:hAnsi="Georgia" w:cs="Georgia"/>
        </w:rPr>
        <w:t>**</w:t>
      </w:r>
      <w:r>
        <w:rPr>
          <w:rFonts w:hint="default" w:ascii="Georgia" w:hAnsi="Georgia" w:cs="Georgia"/>
          <w:i/>
          <w:iCs/>
        </w:rPr>
        <w:t>P</w:t>
      </w:r>
      <w:r>
        <w:rPr>
          <w:rFonts w:hint="default" w:ascii="Georgia" w:hAnsi="Georgia" w:cs="Georgia"/>
          <w:i/>
          <w:iCs/>
          <w:lang w:val="en-US" w:eastAsia="zh-CN"/>
        </w:rPr>
        <w:t xml:space="preserve"> </w:t>
      </w:r>
      <w:r>
        <w:rPr>
          <w:rFonts w:hint="default" w:ascii="Georgia" w:hAnsi="Georgia" w:cs="Georgia"/>
        </w:rPr>
        <w:t>&lt;</w:t>
      </w:r>
      <w:r>
        <w:rPr>
          <w:rFonts w:hint="default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0.001</w:t>
      </w:r>
      <w:r>
        <w:rPr>
          <w:rFonts w:hint="eastAsia" w:ascii="Georgia" w:hAnsi="Georgia" w:cs="Georgia"/>
          <w:lang w:val="en-US" w:eastAsia="zh-CN"/>
        </w:rPr>
        <w:t xml:space="preserve">, </w:t>
      </w:r>
      <w:r>
        <w:rPr>
          <w:rFonts w:ascii="Georgia" w:hAnsi="Georgia" w:cs="Calibri"/>
        </w:rPr>
        <w:t>ns: not significant.</w:t>
      </w:r>
      <w:r>
        <w:rPr>
          <w:rFonts w:hint="eastAsia" w:ascii="Georgia" w:hAnsi="Georgia" w:cs="Calibri"/>
          <w:lang w:val="en-US" w:eastAsia="zh-CN"/>
        </w:rPr>
        <w:t xml:space="preserve"> </w:t>
      </w:r>
      <w:r>
        <w:rPr>
          <w:rFonts w:hint="eastAsia" w:ascii="Georgia" w:hAnsi="Georgia" w:cs="Georgia"/>
          <w:b/>
          <w:bCs/>
          <w:lang w:val="en-US" w:eastAsia="zh-CN"/>
        </w:rPr>
        <w:t>(</w:t>
      </w:r>
      <w:r>
        <w:rPr>
          <w:rFonts w:hint="eastAsia" w:ascii="Georgia" w:hAnsi="Georgia" w:cs="Georgia"/>
          <w:b/>
          <w:bCs/>
          <w:lang w:val="en-US" w:eastAsia="zh-CN"/>
        </w:rPr>
        <w:t>C)</w:t>
      </w:r>
      <w:r>
        <w:rPr>
          <w:rFonts w:hint="eastAsia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Calcein-AM/PI double staining showing cell viability under exosome treatment conditions in different groups. (green: viable cells; red: dead cells). Scale bar = 100 μm</w:t>
      </w:r>
      <w:r>
        <w:rPr>
          <w:rFonts w:hint="eastAsia" w:ascii="Georgia" w:hAnsi="Georgia" w:cs="Calibri"/>
          <w:sz w:val="18"/>
          <w:szCs w:val="18"/>
          <w:lang w:val="en-US" w:eastAsia="zh-CN"/>
        </w:rPr>
        <w:t xml:space="preserve">. </w:t>
      </w:r>
      <w:r>
        <w:rPr>
          <w:rFonts w:hint="eastAsia" w:ascii="Georgia" w:hAnsi="Georgia" w:cs="Georgia"/>
          <w:b/>
          <w:bCs/>
          <w:lang w:val="en-US" w:eastAsia="zh-CN"/>
        </w:rPr>
        <w:t>(</w:t>
      </w:r>
      <w:r>
        <w:rPr>
          <w:rFonts w:hint="eastAsia" w:ascii="Georgia" w:hAnsi="Georgia" w:cs="Georgia"/>
          <w:b/>
          <w:bCs/>
          <w:lang w:val="en-US" w:eastAsia="zh-CN"/>
        </w:rPr>
        <w:t>D)</w:t>
      </w:r>
      <w:r>
        <w:rPr>
          <w:rFonts w:hint="eastAsia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 xml:space="preserve">Quantification of </w:t>
      </w:r>
      <w:r>
        <w:rPr>
          <w:rFonts w:hint="eastAsia" w:ascii="Georgia" w:hAnsi="Georgia" w:cs="Georgia"/>
          <w:lang w:val="en-US" w:eastAsia="zh-CN"/>
        </w:rPr>
        <w:t>c</w:t>
      </w:r>
      <w:r>
        <w:rPr>
          <w:rFonts w:hint="default" w:ascii="Georgia" w:hAnsi="Georgia" w:cs="Georgia"/>
        </w:rPr>
        <w:t>ell viability</w:t>
      </w:r>
      <w:r>
        <w:rPr>
          <w:rFonts w:hint="eastAsia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analysis across different concentrations of extracellular vesicles</w:t>
      </w:r>
      <w:r>
        <w:rPr>
          <w:rFonts w:hint="eastAsia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in the Ctrl and Blast groups. Data are presented as mean ± SD. Statistical significance: ***</w:t>
      </w:r>
      <w:r>
        <w:rPr>
          <w:rFonts w:hint="default" w:ascii="Georgia" w:hAnsi="Georgia" w:cs="Georgia"/>
          <w:i/>
          <w:iCs/>
        </w:rPr>
        <w:t>P</w:t>
      </w:r>
      <w:r>
        <w:rPr>
          <w:rFonts w:hint="default" w:ascii="Georgia" w:hAnsi="Georgia" w:cs="Georgia"/>
          <w:i/>
          <w:iCs/>
          <w:lang w:val="en-US" w:eastAsia="zh-CN"/>
        </w:rPr>
        <w:t xml:space="preserve"> </w:t>
      </w:r>
      <w:r>
        <w:rPr>
          <w:rFonts w:hint="default" w:ascii="Georgia" w:hAnsi="Georgia" w:cs="Georgia"/>
        </w:rPr>
        <w:t>&lt;</w:t>
      </w:r>
      <w:r>
        <w:rPr>
          <w:rFonts w:hint="default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0.001</w:t>
      </w:r>
      <w:r>
        <w:rPr>
          <w:rFonts w:hint="eastAsia" w:ascii="Georgia" w:hAnsi="Georgia" w:cs="Georgia"/>
          <w:lang w:val="en-US" w:eastAsia="zh-CN"/>
        </w:rPr>
        <w:t xml:space="preserve">, </w:t>
      </w:r>
      <w:r>
        <w:rPr>
          <w:rFonts w:ascii="Georgia" w:hAnsi="Georgia" w:cs="Calibri"/>
        </w:rPr>
        <w:t>ns: not significant.</w:t>
      </w:r>
    </w:p>
    <w:p w14:paraId="539D486B">
      <w:pPr>
        <w:rPr>
          <w:rFonts w:hint="eastAsia" w:ascii="Calibri" w:hAnsi="Calibri" w:cs="Calibri" w:eastAsiaTheme="minorEastAsia"/>
          <w:lang w:eastAsia="zh-CN"/>
        </w:rPr>
      </w:pPr>
      <w:r>
        <w:rPr>
          <w:rFonts w:hint="eastAsia" w:ascii="Calibri" w:hAnsi="Calibri" w:cs="Calibri" w:eastAsiaTheme="minorEastAsia"/>
          <w:lang w:eastAsia="zh-CN"/>
        </w:rPr>
        <w:drawing>
          <wp:inline distT="0" distB="0" distL="114300" distR="114300">
            <wp:extent cx="5266690" cy="5266690"/>
            <wp:effectExtent l="0" t="0" r="6350" b="6350"/>
            <wp:docPr id="1" name="图片 1" descr="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0C35">
      <w:pPr>
        <w:rPr>
          <w:rFonts w:hint="default" w:ascii="Georgia" w:hAnsi="Georgia" w:cs="Georgia"/>
        </w:rPr>
      </w:pPr>
      <w:r>
        <w:rPr>
          <w:rFonts w:hint="default" w:ascii="Georgia" w:hAnsi="Georgia" w:cs="Georgia"/>
          <w:b/>
          <w:bCs/>
        </w:rPr>
        <w:t>Figure S</w:t>
      </w:r>
      <w:r>
        <w:rPr>
          <w:rFonts w:hint="default" w:ascii="Georgia" w:hAnsi="Georgia" w:cs="Georgia"/>
          <w:b/>
          <w:bCs/>
          <w:lang w:val="en-US" w:eastAsia="zh-CN"/>
        </w:rPr>
        <w:t>2</w:t>
      </w:r>
      <w:r>
        <w:rPr>
          <w:rFonts w:hint="default" w:ascii="Georgia" w:hAnsi="Georgia" w:cs="Georgia"/>
          <w:b/>
          <w:bCs/>
        </w:rPr>
        <w:t>. Effect of TGF-β on type II alveolar epithelial cell transdifferentiation. (A, B)</w:t>
      </w:r>
      <w:r>
        <w:rPr>
          <w:rFonts w:hint="default" w:ascii="Georgia" w:hAnsi="Georgia" w:cs="Georgia"/>
        </w:rPr>
        <w:t xml:space="preserve"> Immunofluorescence analysis of AGER expression in response to different TGF-β1 concentrations at 24 hours (</w:t>
      </w:r>
      <w:r>
        <w:rPr>
          <w:rFonts w:hint="default" w:ascii="Georgia" w:hAnsi="Georgia" w:cs="Georgia"/>
          <w:b/>
          <w:bCs/>
        </w:rPr>
        <w:t>A</w:t>
      </w:r>
      <w:r>
        <w:rPr>
          <w:rFonts w:hint="default" w:ascii="Georgia" w:hAnsi="Georgia" w:cs="Georgia"/>
        </w:rPr>
        <w:t>) and 48 hours (</w:t>
      </w:r>
      <w:r>
        <w:rPr>
          <w:rFonts w:hint="default" w:ascii="Georgia" w:hAnsi="Georgia" w:cs="Georgia"/>
          <w:b/>
          <w:bCs/>
        </w:rPr>
        <w:t>B</w:t>
      </w:r>
      <w:r>
        <w:rPr>
          <w:rFonts w:hint="default" w:ascii="Georgia" w:hAnsi="Georgia" w:cs="Georgia"/>
        </w:rPr>
        <w:t xml:space="preserve">). </w:t>
      </w:r>
      <w:r>
        <w:rPr>
          <w:rFonts w:hint="default" w:ascii="Georgia" w:hAnsi="Georgia" w:cs="Georgia"/>
          <w:b/>
          <w:bCs/>
        </w:rPr>
        <w:t>(C, D)</w:t>
      </w:r>
      <w:r>
        <w:rPr>
          <w:rFonts w:hint="default" w:ascii="Georgia" w:hAnsi="Georgia" w:cs="Georgia"/>
        </w:rPr>
        <w:t xml:space="preserve"> Immunofluorescence analysis of SP-C expression under the same conditions. </w:t>
      </w:r>
      <w:r>
        <w:rPr>
          <w:rFonts w:hint="default" w:ascii="Georgia" w:hAnsi="Georgia" w:cs="Georgia"/>
          <w:b/>
          <w:bCs/>
        </w:rPr>
        <w:t>(E-H)</w:t>
      </w:r>
      <w:r>
        <w:rPr>
          <w:rFonts w:hint="default" w:ascii="Georgia" w:hAnsi="Georgia" w:cs="Georgia"/>
        </w:rPr>
        <w:t xml:space="preserve"> Quantification of mean gray values for AGER (</w:t>
      </w:r>
      <w:r>
        <w:rPr>
          <w:rFonts w:hint="default" w:ascii="Georgia" w:hAnsi="Georgia" w:cs="Georgia"/>
          <w:b/>
          <w:bCs/>
        </w:rPr>
        <w:t>E</w:t>
      </w:r>
      <w:r>
        <w:rPr>
          <w:rFonts w:hint="default" w:ascii="Georgia" w:hAnsi="Georgia" w:cs="Georgia"/>
        </w:rPr>
        <w:t xml:space="preserve">, </w:t>
      </w:r>
      <w:r>
        <w:rPr>
          <w:rFonts w:hint="default" w:ascii="Georgia" w:hAnsi="Georgia" w:cs="Georgia"/>
          <w:b/>
          <w:bCs/>
        </w:rPr>
        <w:t>F</w:t>
      </w:r>
      <w:r>
        <w:rPr>
          <w:rFonts w:hint="default" w:ascii="Georgia" w:hAnsi="Georgia" w:cs="Georgia"/>
        </w:rPr>
        <w:t xml:space="preserve">) and SP-C </w:t>
      </w:r>
      <w:r>
        <w:rPr>
          <w:rFonts w:hint="default" w:ascii="Georgia" w:hAnsi="Georgia" w:cs="Georgia"/>
          <w:b w:val="0"/>
          <w:bCs w:val="0"/>
        </w:rPr>
        <w:t>(</w:t>
      </w:r>
      <w:r>
        <w:rPr>
          <w:rFonts w:hint="default" w:ascii="Georgia" w:hAnsi="Georgia" w:cs="Georgia"/>
          <w:b/>
          <w:bCs/>
        </w:rPr>
        <w:t>G, H</w:t>
      </w:r>
      <w:r>
        <w:rPr>
          <w:rFonts w:hint="default" w:ascii="Georgia" w:hAnsi="Georgia" w:cs="Georgia"/>
          <w:b w:val="0"/>
          <w:bCs w:val="0"/>
        </w:rPr>
        <w:t xml:space="preserve">) </w:t>
      </w:r>
      <w:r>
        <w:rPr>
          <w:rFonts w:hint="default" w:ascii="Georgia" w:hAnsi="Georgia" w:cs="Georgia"/>
        </w:rPr>
        <w:t>at 24 and 48 hours. Data are presented as mean ± SD. Statistical significance: ***</w:t>
      </w:r>
      <w:r>
        <w:rPr>
          <w:rFonts w:hint="default" w:ascii="Georgia" w:hAnsi="Georgia" w:cs="Georgia"/>
          <w:i/>
          <w:iCs/>
        </w:rPr>
        <w:t>P</w:t>
      </w:r>
      <w:r>
        <w:rPr>
          <w:rFonts w:hint="default" w:ascii="Georgia" w:hAnsi="Georgia" w:cs="Georgia"/>
          <w:i/>
          <w:iCs/>
          <w:lang w:val="en-US" w:eastAsia="zh-CN"/>
        </w:rPr>
        <w:t xml:space="preserve"> </w:t>
      </w:r>
      <w:r>
        <w:rPr>
          <w:rFonts w:hint="default" w:ascii="Georgia" w:hAnsi="Georgia" w:cs="Georgia"/>
        </w:rPr>
        <w:t>&lt;</w:t>
      </w:r>
      <w:r>
        <w:rPr>
          <w:rFonts w:hint="default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0.001.</w:t>
      </w:r>
    </w:p>
    <w:p w14:paraId="3B113734">
      <w:pPr>
        <w:rPr>
          <w:rFonts w:hint="eastAsia" w:ascii="Calibri" w:hAnsi="Calibri" w:cs="Calibri" w:eastAsiaTheme="minorEastAsia"/>
          <w:lang w:eastAsia="zh-CN"/>
        </w:rPr>
      </w:pPr>
      <w:r>
        <w:rPr>
          <w:rFonts w:hint="eastAsia" w:ascii="Calibri" w:hAnsi="Calibri" w:cs="Calibri" w:eastAsiaTheme="minorEastAsia"/>
          <w:lang w:eastAsia="zh-CN"/>
        </w:rPr>
        <w:drawing>
          <wp:inline distT="0" distB="0" distL="114300" distR="114300">
            <wp:extent cx="5255895" cy="4340860"/>
            <wp:effectExtent l="0" t="0" r="0" b="0"/>
            <wp:docPr id="10" name="图片 10" descr="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-4"/>
                    <pic:cNvPicPr>
                      <a:picLocks noChangeAspect="1"/>
                    </pic:cNvPicPr>
                  </pic:nvPicPr>
                  <pic:blipFill>
                    <a:blip r:embed="rId6"/>
                    <a:srcRect r="205" b="1757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9997">
      <w:pPr>
        <w:rPr>
          <w:rFonts w:ascii="Calibri" w:hAnsi="Calibri" w:cs="Calibri"/>
        </w:rPr>
      </w:pPr>
      <w:r>
        <w:rPr>
          <w:rFonts w:hint="default" w:ascii="Georgia" w:hAnsi="Georgia" w:cs="Georgia"/>
          <w:b/>
          <w:bCs/>
        </w:rPr>
        <w:t>Figure S</w:t>
      </w:r>
      <w:r>
        <w:rPr>
          <w:rFonts w:hint="default" w:ascii="Georgia" w:hAnsi="Georgia" w:cs="Georgia"/>
          <w:b/>
          <w:bCs/>
          <w:lang w:val="en-US" w:eastAsia="zh-CN"/>
        </w:rPr>
        <w:t>3</w:t>
      </w:r>
      <w:r>
        <w:rPr>
          <w:rFonts w:hint="default" w:ascii="Georgia" w:hAnsi="Georgia" w:cs="Georgia"/>
          <w:b/>
          <w:bCs/>
        </w:rPr>
        <w:t>. Quantitative analysis of immunohistochemistry and immunofluorescence results demonstrating macrophage exosome effects on type II alveolar epithelial cell transdifferentiation. (A)</w:t>
      </w:r>
      <w:r>
        <w:rPr>
          <w:rFonts w:hint="default" w:ascii="Georgia" w:hAnsi="Georgia" w:cs="Georgia"/>
        </w:rPr>
        <w:t xml:space="preserve"> Quantification of average optical density across treatment groups. </w:t>
      </w:r>
      <w:r>
        <w:rPr>
          <w:rFonts w:hint="default" w:ascii="Georgia" w:hAnsi="Georgia" w:cs="Georgia"/>
          <w:b/>
          <w:bCs/>
        </w:rPr>
        <w:t>(B-E)</w:t>
      </w:r>
      <w:r>
        <w:rPr>
          <w:rFonts w:hint="default" w:ascii="Georgia" w:hAnsi="Georgia" w:cs="Georgia"/>
        </w:rPr>
        <w:t xml:space="preserve"> Mean gray value analysis of immunofluorescence staining. Data are presented as mean ± SD. Statistical significance: *</w:t>
      </w:r>
      <w:r>
        <w:rPr>
          <w:rFonts w:hint="default" w:ascii="Georgia" w:hAnsi="Georgia" w:cs="Georgia"/>
          <w:i/>
          <w:iCs/>
        </w:rPr>
        <w:t>P</w:t>
      </w:r>
      <w:r>
        <w:rPr>
          <w:rFonts w:hint="default" w:ascii="Georgia" w:hAnsi="Georgia" w:cs="Georgia"/>
          <w:i/>
          <w:iCs/>
          <w:lang w:val="en-US" w:eastAsia="zh-CN"/>
        </w:rPr>
        <w:t xml:space="preserve"> </w:t>
      </w:r>
      <w:r>
        <w:rPr>
          <w:rFonts w:hint="default" w:ascii="Georgia" w:hAnsi="Georgia" w:cs="Georgia"/>
        </w:rPr>
        <w:t>&lt;</w:t>
      </w:r>
      <w:r>
        <w:rPr>
          <w:rFonts w:hint="default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0.05, **</w:t>
      </w:r>
      <w:r>
        <w:rPr>
          <w:rFonts w:hint="default" w:ascii="Georgia" w:hAnsi="Georgia" w:cs="Georgia"/>
          <w:i/>
          <w:iCs/>
        </w:rPr>
        <w:t>P</w:t>
      </w:r>
      <w:r>
        <w:rPr>
          <w:rFonts w:hint="default" w:ascii="Georgia" w:hAnsi="Georgia" w:cs="Georgia"/>
          <w:i/>
          <w:iCs/>
          <w:lang w:val="en-US" w:eastAsia="zh-CN"/>
        </w:rPr>
        <w:t xml:space="preserve"> </w:t>
      </w:r>
      <w:r>
        <w:rPr>
          <w:rFonts w:hint="default" w:ascii="Georgia" w:hAnsi="Georgia" w:cs="Georgia"/>
        </w:rPr>
        <w:t>&lt;</w:t>
      </w:r>
      <w:r>
        <w:rPr>
          <w:rFonts w:hint="default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0.01, ***</w:t>
      </w:r>
      <w:r>
        <w:rPr>
          <w:rFonts w:hint="default" w:ascii="Georgia" w:hAnsi="Georgia" w:cs="Georgia"/>
          <w:i/>
          <w:iCs/>
        </w:rPr>
        <w:t>P</w:t>
      </w:r>
      <w:r>
        <w:rPr>
          <w:rFonts w:hint="default" w:ascii="Georgia" w:hAnsi="Georgia" w:cs="Georgia"/>
          <w:i/>
          <w:iCs/>
          <w:lang w:val="en-US" w:eastAsia="zh-CN"/>
        </w:rPr>
        <w:t xml:space="preserve"> </w:t>
      </w:r>
      <w:r>
        <w:rPr>
          <w:rFonts w:hint="default" w:ascii="Georgia" w:hAnsi="Georgia" w:cs="Georgia"/>
        </w:rPr>
        <w:t>&lt;</w:t>
      </w:r>
      <w:r>
        <w:rPr>
          <w:rFonts w:hint="default" w:ascii="Georgia" w:hAnsi="Georgia" w:cs="Georgia"/>
          <w:lang w:val="en-US" w:eastAsia="zh-CN"/>
        </w:rPr>
        <w:t xml:space="preserve"> </w:t>
      </w:r>
      <w:r>
        <w:rPr>
          <w:rFonts w:hint="default" w:ascii="Georgia" w:hAnsi="Georgia" w:cs="Georgia"/>
        </w:rPr>
        <w:t>0.001</w:t>
      </w:r>
      <w:r>
        <w:rPr>
          <w:rFonts w:ascii="Calibri" w:hAnsi="Calibri" w:cs="Calibri"/>
        </w:rPr>
        <w:t>.</w:t>
      </w:r>
    </w:p>
    <w:p w14:paraId="2033E536">
      <w:pPr>
        <w:rPr>
          <w:rFonts w:hint="eastAsia" w:ascii="Calibri" w:hAnsi="Calibri" w:cs="Calibri" w:eastAsiaTheme="minorEastAsia"/>
          <w:lang w:eastAsia="zh-CN"/>
        </w:rPr>
      </w:pPr>
    </w:p>
    <w:p w14:paraId="6D19D092">
      <w:pPr>
        <w:rPr>
          <w:rFonts w:ascii="Calibri" w:hAnsi="Calibri" w:cs="Calibri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czMzMyMTW2sDCxMLNQ0lEKTi0uzszPAykwqgUAaDYF5ywAAAA="/>
  </w:docVars>
  <w:rsids>
    <w:rsidRoot w:val="00AE1C8D"/>
    <w:rsid w:val="00017724"/>
    <w:rsid w:val="00197C9C"/>
    <w:rsid w:val="004A3B65"/>
    <w:rsid w:val="0054078B"/>
    <w:rsid w:val="00596D98"/>
    <w:rsid w:val="007D44BE"/>
    <w:rsid w:val="00AA354F"/>
    <w:rsid w:val="00AE1C8D"/>
    <w:rsid w:val="00D44BCC"/>
    <w:rsid w:val="00F40C5A"/>
    <w:rsid w:val="00F60A95"/>
    <w:rsid w:val="00F92582"/>
    <w:rsid w:val="03661C8B"/>
    <w:rsid w:val="05BC0EDC"/>
    <w:rsid w:val="08777267"/>
    <w:rsid w:val="0B617830"/>
    <w:rsid w:val="17530D5A"/>
    <w:rsid w:val="25690C3D"/>
    <w:rsid w:val="310D009E"/>
    <w:rsid w:val="386D1B95"/>
    <w:rsid w:val="3E0F7CCF"/>
    <w:rsid w:val="43865AD7"/>
    <w:rsid w:val="43ED4470"/>
    <w:rsid w:val="466D3722"/>
    <w:rsid w:val="575800FB"/>
    <w:rsid w:val="6C1574B2"/>
    <w:rsid w:val="719875AF"/>
    <w:rsid w:val="786324D9"/>
    <w:rsid w:val="7FE6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420</Words>
  <Characters>2596</Characters>
  <Lines>34</Lines>
  <Paragraphs>9</Paragraphs>
  <TotalTime>0</TotalTime>
  <ScaleCrop>false</ScaleCrop>
  <LinksUpToDate>false</LinksUpToDate>
  <CharactersWithSpaces>3000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2024-12-03T02:24:00Z</dcterms:created>
  <dc:creator>Admin</dc:creator>
  <cp:lastModifiedBy> 羊习习</cp:lastModifiedBy>
  <dcterms:modified xsi:type="dcterms:W3CDTF">2025-09-21T16:40:33Z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9F38CF22839E419D8DC9A7FB1ED2B57F_12</vt:lpwstr>
  </property>
  <property fmtid="{D5CDD505-2E9C-101B-9397-08002B2CF9AE}" pid="4" name="KSOTemplateDocerSaveRecord">
    <vt:lpwstr>eyJoZGlkIjoiYTdiMDQ5YTkzODI3NzMxODAxZmNkODI2OGQwZDY3OWYiLCJ1c2VySWQiOiI2NTg5OTgwNDIifQ==</vt:lpwstr>
  </property>
</Properties>
</file>