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CDE20" w14:textId="77777777" w:rsidR="00342923" w:rsidRPr="00342923" w:rsidRDefault="00342923" w:rsidP="00342923">
      <w:pPr>
        <w:pStyle w:val="Overskrift1"/>
        <w:spacing w:before="0"/>
        <w:rPr>
          <w:rFonts w:ascii="Times New Roman" w:hAnsi="Times New Roman" w:cs="Times New Roman"/>
        </w:rPr>
      </w:pPr>
      <w:r w:rsidRPr="00342923">
        <w:rPr>
          <w:rFonts w:ascii="Times New Roman" w:hAnsi="Times New Roman" w:cs="Times New Roman"/>
        </w:rPr>
        <w:t>Supplementary</w:t>
      </w:r>
    </w:p>
    <w:p w14:paraId="50E21969" w14:textId="77777777" w:rsidR="00342923" w:rsidRPr="00342923" w:rsidRDefault="00342923" w:rsidP="00342923">
      <w:pPr>
        <w:rPr>
          <w:lang w:eastAsia="en-US"/>
        </w:rPr>
      </w:pPr>
    </w:p>
    <w:p w14:paraId="0CF5BC4C" w14:textId="77777777" w:rsidR="00342923" w:rsidRPr="00342923" w:rsidRDefault="00342923" w:rsidP="00342923">
      <w:pPr>
        <w:rPr>
          <w:lang w:eastAsia="en-US"/>
        </w:rPr>
      </w:pPr>
      <w:r w:rsidRPr="00342923">
        <w:rPr>
          <w:rStyle w:val="Overskrift2Tegn"/>
          <w:rFonts w:ascii="Times New Roman" w:hAnsi="Times New Roman" w:cs="Times New Roman"/>
          <w:iCs/>
        </w:rPr>
        <w:t>eTable 1.</w:t>
      </w:r>
      <w:r w:rsidRPr="00342923">
        <w:rPr>
          <w:rStyle w:val="Overskrift2Tegn"/>
          <w:rFonts w:ascii="Times New Roman" w:hAnsi="Times New Roman" w:cs="Times New Roman"/>
          <w:iCs/>
          <w:sz w:val="20"/>
          <w:szCs w:val="20"/>
        </w:rPr>
        <w:t xml:space="preserve"> </w:t>
      </w:r>
      <w:r w:rsidRPr="00342923">
        <w:t>Overview of diagnosis and procedure codes</w:t>
      </w:r>
    </w:p>
    <w:tbl>
      <w:tblPr>
        <w:tblStyle w:val="Almindeligtabel4"/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69"/>
        <w:gridCol w:w="4721"/>
      </w:tblGrid>
      <w:tr w:rsidR="00342923" w:rsidRPr="00342923" w14:paraId="3C1ED15D" w14:textId="77777777" w:rsidTr="00FC1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2D56" w:themeColor="background2" w:themeShade="BF"/>
              <w:left w:val="single" w:sz="4" w:space="0" w:color="002D56" w:themeColor="background2" w:themeShade="BF"/>
              <w:bottom w:val="single" w:sz="8" w:space="0" w:color="B6E3F8" w:themeColor="accent3" w:themeTint="99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4A455958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</w:rPr>
            </w:pPr>
            <w:r w:rsidRPr="00342923">
              <w:rPr>
                <w:rFonts w:ascii="Times New Roman" w:hAnsi="Times New Roman" w:cs="Times New Roman"/>
              </w:rPr>
              <w:t>Disease/Procedure</w:t>
            </w:r>
          </w:p>
        </w:tc>
        <w:tc>
          <w:tcPr>
            <w:tcW w:w="0" w:type="auto"/>
            <w:tcBorders>
              <w:top w:val="single" w:sz="4" w:space="0" w:color="002D56" w:themeColor="background2" w:themeShade="BF"/>
              <w:left w:val="single" w:sz="8" w:space="0" w:color="B6E3F8" w:themeColor="accent3" w:themeTint="99"/>
              <w:bottom w:val="single" w:sz="8" w:space="0" w:color="B6E3F8" w:themeColor="accent3" w:themeTint="99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6181657A" w14:textId="77777777" w:rsidR="00342923" w:rsidRPr="00342923" w:rsidRDefault="00342923" w:rsidP="00FC1850">
            <w:pPr>
              <w:pStyle w:val="Ing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 or NOMESCO</w:t>
            </w:r>
          </w:p>
        </w:tc>
      </w:tr>
      <w:tr w:rsidR="00342923" w:rsidRPr="00342923" w14:paraId="3F62DE89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B6E3F8" w:themeColor="accent3" w:themeTint="99"/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0552A0AD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</w:rPr>
            </w:pPr>
            <w:r w:rsidRPr="00342923">
              <w:rPr>
                <w:rFonts w:ascii="Times New Roman" w:hAnsi="Times New Roman" w:cs="Times New Roman"/>
                <w:b w:val="0"/>
              </w:rPr>
              <w:t>1. Amyloidosis</w:t>
            </w:r>
          </w:p>
        </w:tc>
        <w:tc>
          <w:tcPr>
            <w:tcW w:w="0" w:type="auto"/>
            <w:tcBorders>
              <w:top w:val="single" w:sz="8" w:space="0" w:color="B6E3F8" w:themeColor="accent3" w:themeTint="99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4DEAAFB0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DE85x</w:t>
            </w:r>
          </w:p>
        </w:tc>
      </w:tr>
      <w:tr w:rsidR="00342923" w:rsidRPr="00342923" w14:paraId="6CC1F38A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4F000150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Amyloidosis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4E3F4835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</w:t>
            </w:r>
          </w:p>
        </w:tc>
      </w:tr>
      <w:tr w:rsidR="00342923" w:rsidRPr="00342923" w14:paraId="0C739C4A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67A8F09D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Non-neuropathic hereditary amyloidosis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57239E0F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DE850 (DE850A excluded)</w:t>
            </w:r>
          </w:p>
        </w:tc>
      </w:tr>
      <w:tr w:rsidR="00342923" w:rsidRPr="00342923" w14:paraId="2E3BC684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4A3F7981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Hereditary nerve-amyloidosis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002533AB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DE851</w:t>
            </w:r>
          </w:p>
        </w:tc>
      </w:tr>
      <w:tr w:rsidR="00342923" w:rsidRPr="00342923" w14:paraId="667EF96A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463B93EA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Amyloidosis with polyneuropathy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76A657B0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DE851A</w:t>
            </w:r>
          </w:p>
        </w:tc>
      </w:tr>
      <w:tr w:rsidR="00342923" w:rsidRPr="00342923" w14:paraId="6DAD0EA3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303348BA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Hereditary amyloidosis, unspecified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3A79CCA8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DE852</w:t>
            </w:r>
          </w:p>
        </w:tc>
      </w:tr>
      <w:tr w:rsidR="00342923" w:rsidRPr="00342923" w14:paraId="751D8B35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2317799B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Secondary systemic amyloidosis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56A0E27C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DE853</w:t>
            </w:r>
          </w:p>
        </w:tc>
      </w:tr>
      <w:tr w:rsidR="00342923" w:rsidRPr="00342923" w14:paraId="100BD632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09725A22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Organ-limited amyloidosis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02F870CB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DE854</w:t>
            </w:r>
          </w:p>
        </w:tc>
      </w:tr>
      <w:tr w:rsidR="00342923" w:rsidRPr="00342923" w14:paraId="0E736ADF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3124E35B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Other amyloidosis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6F32E476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DE858</w:t>
            </w:r>
          </w:p>
        </w:tc>
      </w:tr>
      <w:tr w:rsidR="00342923" w:rsidRPr="00342923" w14:paraId="1361A99C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7CD7A4FB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Light chain amyloidosis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77E12552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DE858A</w:t>
            </w:r>
          </w:p>
        </w:tc>
      </w:tr>
      <w:tr w:rsidR="00342923" w:rsidRPr="00342923" w14:paraId="09A40D6A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24B49207" w14:textId="77777777" w:rsidR="00342923" w:rsidRPr="00342923" w:rsidRDefault="00342923" w:rsidP="00342923">
            <w:pPr>
              <w:pStyle w:val="Ingenafstand"/>
              <w:numPr>
                <w:ilvl w:val="0"/>
                <w:numId w:val="24"/>
              </w:numPr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  <w:kern w:val="2"/>
                <w14:ligatures w14:val="standardContextual"/>
              </w:rPr>
              <w:t>Amyloidosis, unspecified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3E52CD8A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DE859</w:t>
            </w:r>
          </w:p>
        </w:tc>
      </w:tr>
      <w:tr w:rsidR="00342923" w:rsidRPr="00342923" w14:paraId="43DACA33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75A34CA8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2. Spinal stenosis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14C0CF3B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DM480</w:t>
            </w:r>
          </w:p>
        </w:tc>
      </w:tr>
      <w:tr w:rsidR="00342923" w:rsidRPr="00342923" w14:paraId="1DBF5A68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3B8BD01C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3. Knee arthrosis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7DBB83E1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DM17x</w:t>
            </w:r>
          </w:p>
        </w:tc>
      </w:tr>
      <w:tr w:rsidR="00342923" w:rsidRPr="00342923" w14:paraId="35D4FD55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50FC116F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4. Hip arthrosis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7135BE5E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DM16x</w:t>
            </w:r>
          </w:p>
        </w:tc>
      </w:tr>
      <w:tr w:rsidR="00342923" w:rsidRPr="00342923" w14:paraId="1087CF4E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47076FFC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5. Achilles tendon rupture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035FE2AE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 xml:space="preserve">ICD-10: </w:t>
            </w:r>
            <w:r w:rsidRPr="00342923">
              <w:rPr>
                <w:rFonts w:ascii="Times New Roman" w:hAnsi="Times New Roman" w:cs="Times New Roman"/>
                <w:iCs/>
              </w:rPr>
              <w:t>DS860 DS860A</w:t>
            </w:r>
          </w:p>
        </w:tc>
      </w:tr>
      <w:tr w:rsidR="00342923" w:rsidRPr="00342923" w14:paraId="44456FFF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4528AF9D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6. Biceps tendon rupture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44E5F06D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 xml:space="preserve">ICD-10: </w:t>
            </w:r>
            <w:r w:rsidRPr="00342923">
              <w:rPr>
                <w:rFonts w:ascii="Times New Roman" w:hAnsi="Times New Roman" w:cs="Times New Roman"/>
                <w:iCs/>
              </w:rPr>
              <w:t xml:space="preserve">DS461X, </w:t>
            </w:r>
            <w:r w:rsidRPr="00342923">
              <w:rPr>
                <w:rFonts w:ascii="Times New Roman" w:hAnsi="Times New Roman" w:cs="Times New Roman"/>
              </w:rPr>
              <w:t>DS462X</w:t>
            </w:r>
          </w:p>
        </w:tc>
      </w:tr>
      <w:tr w:rsidR="00342923" w:rsidRPr="00342923" w14:paraId="2048D59A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36E660C7" w14:textId="6ED243EC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7. Rotator</w:t>
            </w:r>
            <w:r w:rsidR="0027476E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 w:rsidRPr="00342923">
              <w:rPr>
                <w:rFonts w:ascii="Times New Roman" w:hAnsi="Times New Roman" w:cs="Times New Roman"/>
                <w:b w:val="0"/>
                <w:bCs w:val="0"/>
              </w:rPr>
              <w:t>cuff</w:t>
            </w:r>
            <w:r w:rsidR="0027476E">
              <w:rPr>
                <w:rFonts w:ascii="Times New Roman" w:hAnsi="Times New Roman" w:cs="Times New Roman"/>
                <w:b w:val="0"/>
                <w:bCs w:val="0"/>
              </w:rPr>
              <w:t xml:space="preserve"> tendon</w:t>
            </w:r>
            <w:r w:rsidRPr="00342923">
              <w:rPr>
                <w:rFonts w:ascii="Times New Roman" w:hAnsi="Times New Roman" w:cs="Times New Roman"/>
                <w:b w:val="0"/>
                <w:bCs w:val="0"/>
              </w:rPr>
              <w:t xml:space="preserve"> rupture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3F1B95A6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a-DK"/>
              </w:rPr>
            </w:pPr>
            <w:r w:rsidRPr="00342923">
              <w:rPr>
                <w:rFonts w:ascii="Times New Roman" w:hAnsi="Times New Roman" w:cs="Times New Roman"/>
                <w:lang w:val="da-DK"/>
              </w:rPr>
              <w:t>ICD-10: DS460x, DS467B1, DS467D1, DM751C</w:t>
            </w:r>
            <w:r w:rsidRPr="00342923">
              <w:rPr>
                <w:rFonts w:ascii="Times New Roman" w:hAnsi="Times New Roman" w:cs="Times New Roman"/>
                <w:color w:val="000000"/>
                <w:lang w:val="da-DK"/>
              </w:rPr>
              <w:t>.</w:t>
            </w:r>
          </w:p>
        </w:tc>
      </w:tr>
      <w:tr w:rsidR="00342923" w:rsidRPr="00342923" w14:paraId="4A3E3C51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253735AF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8. Carpal tunnel syndrome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52135204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342923">
              <w:rPr>
                <w:rFonts w:ascii="Times New Roman" w:hAnsi="Times New Roman" w:cs="Times New Roman"/>
                <w:lang w:val="it-IT"/>
              </w:rPr>
              <w:t>ICD-10: G56.0 NOMESCO: KACC51, KACC61</w:t>
            </w:r>
          </w:p>
        </w:tc>
      </w:tr>
      <w:tr w:rsidR="00342923" w:rsidRPr="00342923" w14:paraId="4737F36E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509CD999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9. Heart failure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2C54AB2F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I110, I130, I132, I50x</w:t>
            </w:r>
          </w:p>
        </w:tc>
      </w:tr>
      <w:tr w:rsidR="00342923" w:rsidRPr="00342923" w14:paraId="599D3290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48829622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10. Cardiomyopathy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54C661A7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da-DK"/>
              </w:rPr>
            </w:pPr>
            <w:r w:rsidRPr="00342923">
              <w:rPr>
                <w:rFonts w:ascii="Times New Roman" w:hAnsi="Times New Roman" w:cs="Times New Roman"/>
                <w:lang w:val="da-DK"/>
              </w:rPr>
              <w:t xml:space="preserve">ICD-10: I421, I422, I425, I428, I429, I431, I438, </w:t>
            </w:r>
            <w:r w:rsidRPr="00342923">
              <w:rPr>
                <w:rFonts w:ascii="Times New Roman" w:hAnsi="Times New Roman" w:cs="Times New Roman"/>
                <w:color w:val="002E2E"/>
                <w:shd w:val="clear" w:color="auto" w:fill="FFFFFF"/>
                <w:lang w:val="da-DK"/>
              </w:rPr>
              <w:t>I517C</w:t>
            </w:r>
          </w:p>
        </w:tc>
      </w:tr>
      <w:tr w:rsidR="00342923" w:rsidRPr="00342923" w14:paraId="5E366844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7EA9918E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11. Pacemaker/ICD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4A41ED38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NOMESCO: BFCA0x, BFCA6x, BFCB0, BFCB6</w:t>
            </w:r>
          </w:p>
        </w:tc>
      </w:tr>
      <w:tr w:rsidR="00342923" w:rsidRPr="00342923" w14:paraId="210E15C0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684ADA42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12. Atrial fibrillation or flutter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1AA402DA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ICD-10: I48x</w:t>
            </w:r>
          </w:p>
        </w:tc>
      </w:tr>
      <w:tr w:rsidR="00342923" w:rsidRPr="00342923" w14:paraId="63DDDF0D" w14:textId="77777777" w:rsidTr="00FC1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34653533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13. Any ATTRwt-associated orthopedic disease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8" w:space="0" w:color="F2F2F2" w:themeColor="background1" w:themeShade="F2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29B6C630" w14:textId="77777777" w:rsidR="00342923" w:rsidRPr="00342923" w:rsidRDefault="00342923" w:rsidP="00FC1850">
            <w:pPr>
              <w:pStyle w:val="Ing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Any of ICD-10/NOMESCO for disease-/procedure 2-8</w:t>
            </w:r>
          </w:p>
        </w:tc>
      </w:tr>
      <w:tr w:rsidR="00342923" w:rsidRPr="00342923" w14:paraId="7B71EB04" w14:textId="77777777" w:rsidTr="00FC18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single" w:sz="4" w:space="0" w:color="002D56" w:themeColor="background2" w:themeShade="BF"/>
              <w:bottom w:val="single" w:sz="4" w:space="0" w:color="002D56" w:themeColor="background2" w:themeShade="BF"/>
              <w:right w:val="single" w:sz="8" w:space="0" w:color="B6E3F8" w:themeColor="accent3" w:themeTint="99"/>
            </w:tcBorders>
            <w:shd w:val="clear" w:color="auto" w:fill="FFFFFF" w:themeFill="background1"/>
            <w:vAlign w:val="center"/>
          </w:tcPr>
          <w:p w14:paraId="51C2D7BA" w14:textId="77777777" w:rsidR="00342923" w:rsidRPr="00342923" w:rsidRDefault="00342923" w:rsidP="00FC1850">
            <w:pPr>
              <w:pStyle w:val="Ingenafstand"/>
              <w:rPr>
                <w:rFonts w:ascii="Times New Roman" w:hAnsi="Times New Roman" w:cs="Times New Roman"/>
                <w:b w:val="0"/>
                <w:bCs w:val="0"/>
              </w:rPr>
            </w:pPr>
            <w:r w:rsidRPr="00342923">
              <w:rPr>
                <w:rFonts w:ascii="Times New Roman" w:hAnsi="Times New Roman" w:cs="Times New Roman"/>
                <w:b w:val="0"/>
                <w:bCs w:val="0"/>
              </w:rPr>
              <w:t>14. Any ATTRwt-associated cardiac disease</w:t>
            </w:r>
          </w:p>
        </w:tc>
        <w:tc>
          <w:tcPr>
            <w:tcW w:w="0" w:type="auto"/>
            <w:tcBorders>
              <w:top w:val="single" w:sz="8" w:space="0" w:color="F2F2F2" w:themeColor="background1" w:themeShade="F2"/>
              <w:left w:val="single" w:sz="8" w:space="0" w:color="B6E3F8" w:themeColor="accent3" w:themeTint="99"/>
              <w:bottom w:val="single" w:sz="4" w:space="0" w:color="002D56" w:themeColor="background2" w:themeShade="BF"/>
              <w:right w:val="single" w:sz="4" w:space="0" w:color="002D56" w:themeColor="background2" w:themeShade="BF"/>
            </w:tcBorders>
            <w:shd w:val="clear" w:color="auto" w:fill="FFFFFF" w:themeFill="background1"/>
            <w:vAlign w:val="center"/>
          </w:tcPr>
          <w:p w14:paraId="3ADAEAE3" w14:textId="77777777" w:rsidR="00342923" w:rsidRPr="00342923" w:rsidRDefault="00342923" w:rsidP="00FC1850">
            <w:pPr>
              <w:pStyle w:val="Ing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42923">
              <w:rPr>
                <w:rFonts w:ascii="Times New Roman" w:hAnsi="Times New Roman" w:cs="Times New Roman"/>
              </w:rPr>
              <w:t>Any of ICD-10/NOMESCO for disease-/procedure 9-12</w:t>
            </w:r>
          </w:p>
        </w:tc>
      </w:tr>
    </w:tbl>
    <w:p w14:paraId="5C51EF83" w14:textId="77777777" w:rsidR="00342923" w:rsidRPr="00342923" w:rsidRDefault="00342923" w:rsidP="00342923">
      <w:pPr>
        <w:spacing w:after="160"/>
        <w:rPr>
          <w:b/>
          <w:bCs/>
        </w:rPr>
      </w:pPr>
    </w:p>
    <w:p w14:paraId="4E5E668E" w14:textId="77777777" w:rsidR="00342923" w:rsidRPr="00342923" w:rsidRDefault="00342923" w:rsidP="00342923">
      <w:pPr>
        <w:spacing w:line="240" w:lineRule="auto"/>
      </w:pPr>
      <w:r w:rsidRPr="00342923">
        <w:rPr>
          <w:b/>
          <w:bCs/>
        </w:rPr>
        <w:lastRenderedPageBreak/>
        <w:t xml:space="preserve">eTable 2. </w:t>
      </w:r>
      <w:r w:rsidRPr="00342923">
        <w:t>Overview of the positive predictive value of amyloidosis or amyloidosis subtypes confirmed by medical record review for each ICD-10 amyloidosis diagnosis group in the Danish National Patient Registry</w:t>
      </w:r>
    </w:p>
    <w:tbl>
      <w:tblPr>
        <w:tblStyle w:val="Tabel-Gitter"/>
        <w:tblpPr w:leftFromText="141" w:rightFromText="141" w:vertAnchor="text" w:horzAnchor="page" w:tblpX="1072" w:tblpY="171"/>
        <w:tblW w:w="5699" w:type="pct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993"/>
        <w:gridCol w:w="992"/>
        <w:gridCol w:w="992"/>
        <w:gridCol w:w="851"/>
        <w:gridCol w:w="980"/>
        <w:gridCol w:w="719"/>
        <w:gridCol w:w="995"/>
        <w:gridCol w:w="1136"/>
        <w:gridCol w:w="998"/>
        <w:gridCol w:w="1139"/>
        <w:gridCol w:w="995"/>
        <w:gridCol w:w="1264"/>
        <w:gridCol w:w="1004"/>
        <w:gridCol w:w="976"/>
      </w:tblGrid>
      <w:tr w:rsidR="00342923" w:rsidRPr="00342923" w14:paraId="4EE7ABC3" w14:textId="77777777" w:rsidTr="00342923">
        <w:trPr>
          <w:cantSplit/>
          <w:trHeight w:val="1718"/>
        </w:trPr>
        <w:tc>
          <w:tcPr>
            <w:tcW w:w="415" w:type="pct"/>
            <w:vMerge w:val="restart"/>
            <w:tcBorders>
              <w:top w:val="single" w:sz="4" w:space="0" w:color="002D56" w:themeColor="background2" w:themeShade="BF"/>
              <w:left w:val="single" w:sz="4" w:space="0" w:color="002D56" w:themeColor="background2" w:themeShade="BF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169139FE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648" w:type="pct"/>
            <w:gridSpan w:val="2"/>
            <w:tcBorders>
              <w:top w:val="single" w:sz="4" w:space="0" w:color="002D56" w:themeColor="background2" w:themeShade="BF"/>
              <w:left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5C6A8808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>All registered with any amyloidosis diagnosis code (E85x)</w:t>
            </w:r>
          </w:p>
        </w:tc>
        <w:tc>
          <w:tcPr>
            <w:tcW w:w="602" w:type="pct"/>
            <w:gridSpan w:val="2"/>
            <w:tcBorders>
              <w:top w:val="single" w:sz="4" w:space="0" w:color="002D56" w:themeColor="background2" w:themeShade="BF"/>
              <w:left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7DF19509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rPr>
                <w:b/>
                <w:bCs/>
                <w:sz w:val="16"/>
                <w:szCs w:val="16"/>
              </w:rPr>
            </w:pPr>
          </w:p>
          <w:p w14:paraId="37EF7D52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42923">
              <w:rPr>
                <w:b/>
                <w:bCs/>
                <w:sz w:val="16"/>
                <w:szCs w:val="16"/>
              </w:rPr>
              <w:t xml:space="preserve">Hereditary amyloidosis without neurologic </w:t>
            </w:r>
            <w:r w:rsidRPr="00342923">
              <w:rPr>
                <w:b/>
                <w:bCs/>
                <w:sz w:val="16"/>
                <w:szCs w:val="16"/>
                <w:shd w:val="clear" w:color="auto" w:fill="FFFFFF" w:themeFill="background1"/>
              </w:rPr>
              <w:t>symptoms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 xml:space="preserve"> (E850) +</w:t>
            </w:r>
          </w:p>
          <w:p w14:paraId="79A780C9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color w:val="002E2E"/>
                <w:sz w:val="16"/>
                <w:szCs w:val="16"/>
                <w:shd w:val="clear" w:color="auto" w:fill="FFFFFF"/>
              </w:rPr>
            </w:pPr>
            <w:r w:rsidRPr="00342923">
              <w:rPr>
                <w:b/>
                <w:bCs/>
                <w:sz w:val="16"/>
                <w:szCs w:val="16"/>
              </w:rPr>
              <w:t xml:space="preserve">Hereditary nerve </w:t>
            </w:r>
            <w:r w:rsidRPr="00342923">
              <w:rPr>
                <w:b/>
                <w:bCs/>
                <w:sz w:val="16"/>
                <w:szCs w:val="16"/>
                <w:shd w:val="clear" w:color="auto" w:fill="FFFFFF" w:themeFill="background1"/>
              </w:rPr>
              <w:t>amyloidosis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 xml:space="preserve"> (E851)</w:t>
            </w:r>
          </w:p>
          <w:p w14:paraId="2A04A298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color w:val="002E2E"/>
                <w:sz w:val="16"/>
                <w:szCs w:val="16"/>
                <w:shd w:val="clear" w:color="auto" w:fill="FFFFFF"/>
              </w:rPr>
            </w:pP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>+</w:t>
            </w:r>
            <w:r w:rsidRPr="00342923">
              <w:rPr>
                <w:b/>
                <w:bCs/>
                <w:sz w:val="16"/>
                <w:szCs w:val="16"/>
              </w:rPr>
              <w:t xml:space="preserve"> Hereditary amyloidosis </w:t>
            </w:r>
            <w:r w:rsidRPr="00342923">
              <w:rPr>
                <w:b/>
                <w:bCs/>
                <w:sz w:val="16"/>
                <w:szCs w:val="16"/>
                <w:shd w:val="clear" w:color="auto" w:fill="FFFFFF" w:themeFill="background1"/>
              </w:rPr>
              <w:t>UNS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 xml:space="preserve"> (E852)</w:t>
            </w:r>
          </w:p>
        </w:tc>
        <w:tc>
          <w:tcPr>
            <w:tcW w:w="555" w:type="pct"/>
            <w:gridSpan w:val="2"/>
            <w:tcBorders>
              <w:top w:val="single" w:sz="4" w:space="0" w:color="002D56" w:themeColor="background2" w:themeShade="BF"/>
              <w:left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0EDE7990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42923">
              <w:rPr>
                <w:b/>
                <w:bCs/>
                <w:sz w:val="16"/>
                <w:szCs w:val="16"/>
              </w:rPr>
              <w:t>Amyloidosis with polyneuropathy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/>
              </w:rPr>
              <w:t xml:space="preserve"> 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>(E851A)</w:t>
            </w:r>
          </w:p>
        </w:tc>
        <w:tc>
          <w:tcPr>
            <w:tcW w:w="696" w:type="pct"/>
            <w:gridSpan w:val="2"/>
            <w:tcBorders>
              <w:top w:val="single" w:sz="4" w:space="0" w:color="002D56" w:themeColor="background2" w:themeShade="BF"/>
              <w:left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07EA42B6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42923">
              <w:rPr>
                <w:b/>
                <w:bCs/>
                <w:sz w:val="16"/>
                <w:szCs w:val="16"/>
              </w:rPr>
              <w:t xml:space="preserve">Secondary systemic </w:t>
            </w:r>
            <w:r w:rsidRPr="00342923">
              <w:rPr>
                <w:b/>
                <w:bCs/>
                <w:sz w:val="16"/>
                <w:szCs w:val="16"/>
                <w:shd w:val="clear" w:color="auto" w:fill="FFFFFF" w:themeFill="background1"/>
              </w:rPr>
              <w:t>amyloidosis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 xml:space="preserve"> (E853)</w:t>
            </w:r>
          </w:p>
        </w:tc>
        <w:tc>
          <w:tcPr>
            <w:tcW w:w="698" w:type="pct"/>
            <w:gridSpan w:val="2"/>
            <w:tcBorders>
              <w:top w:val="single" w:sz="4" w:space="0" w:color="002D56" w:themeColor="background2" w:themeShade="BF"/>
              <w:left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410DF8D7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42923">
              <w:rPr>
                <w:b/>
                <w:bCs/>
                <w:sz w:val="16"/>
                <w:szCs w:val="16"/>
              </w:rPr>
              <w:t>Localized amyloidosis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/>
              </w:rPr>
              <w:t xml:space="preserve"> 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>(E854)</w:t>
            </w:r>
          </w:p>
        </w:tc>
        <w:tc>
          <w:tcPr>
            <w:tcW w:w="738" w:type="pct"/>
            <w:gridSpan w:val="2"/>
            <w:tcBorders>
              <w:top w:val="single" w:sz="4" w:space="0" w:color="002D56" w:themeColor="background2" w:themeShade="BF"/>
              <w:left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501016D6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42923">
              <w:rPr>
                <w:b/>
                <w:bCs/>
                <w:sz w:val="16"/>
                <w:szCs w:val="16"/>
              </w:rPr>
              <w:t>AL amyloidosis (E858A)</w:t>
            </w:r>
          </w:p>
        </w:tc>
        <w:tc>
          <w:tcPr>
            <w:tcW w:w="647" w:type="pct"/>
            <w:gridSpan w:val="2"/>
            <w:tcBorders>
              <w:top w:val="single" w:sz="4" w:space="0" w:color="002D56" w:themeColor="background2" w:themeShade="BF"/>
              <w:left w:val="single" w:sz="4" w:space="0" w:color="003D73" w:themeColor="background2"/>
              <w:bottom w:val="single" w:sz="4" w:space="0" w:color="003D73" w:themeColor="background2"/>
              <w:right w:val="single" w:sz="4" w:space="0" w:color="002D56" w:themeColor="background2" w:themeShade="BF"/>
            </w:tcBorders>
            <w:vAlign w:val="center"/>
          </w:tcPr>
          <w:p w14:paraId="1448FB9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42923">
              <w:rPr>
                <w:b/>
                <w:bCs/>
                <w:sz w:val="16"/>
                <w:szCs w:val="16"/>
              </w:rPr>
              <w:t xml:space="preserve">Amyloidosis </w:t>
            </w:r>
            <w:r w:rsidRPr="00342923">
              <w:rPr>
                <w:b/>
                <w:bCs/>
                <w:sz w:val="16"/>
                <w:szCs w:val="16"/>
                <w:shd w:val="clear" w:color="auto" w:fill="FFFFFF" w:themeFill="background1"/>
              </w:rPr>
              <w:t>UNS</w:t>
            </w:r>
            <w:r w:rsidRPr="00342923">
              <w:rPr>
                <w:b/>
                <w:bCs/>
                <w:color w:val="002E2E"/>
                <w:sz w:val="16"/>
                <w:szCs w:val="16"/>
                <w:shd w:val="clear" w:color="auto" w:fill="FFFFFF" w:themeFill="background1"/>
              </w:rPr>
              <w:t xml:space="preserve"> (E859)</w:t>
            </w:r>
          </w:p>
        </w:tc>
      </w:tr>
      <w:tr w:rsidR="00342923" w:rsidRPr="00342923" w14:paraId="6B8AAF2D" w14:textId="77777777" w:rsidTr="00342923">
        <w:trPr>
          <w:cantSplit/>
          <w:trHeight w:val="799"/>
        </w:trPr>
        <w:tc>
          <w:tcPr>
            <w:tcW w:w="415" w:type="pct"/>
            <w:vMerge/>
            <w:tcBorders>
              <w:top w:val="single" w:sz="4" w:space="0" w:color="003D73" w:themeColor="background2"/>
              <w:left w:val="single" w:sz="4" w:space="0" w:color="002D56" w:themeColor="background2" w:themeShade="BF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8B5399F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4B70642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Confirmed / total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31BFDCE7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PPV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288A597E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Confirmed / total</w:t>
            </w:r>
          </w:p>
        </w:tc>
        <w:tc>
          <w:tcPr>
            <w:tcW w:w="278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5E980CD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PPV</w:t>
            </w:r>
          </w:p>
        </w:tc>
        <w:tc>
          <w:tcPr>
            <w:tcW w:w="320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0A326F2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Confirmed / total</w:t>
            </w:r>
          </w:p>
        </w:tc>
        <w:tc>
          <w:tcPr>
            <w:tcW w:w="235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4BDFD29C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PPV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649F8C87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Confirmed / total</w:t>
            </w:r>
          </w:p>
        </w:tc>
        <w:tc>
          <w:tcPr>
            <w:tcW w:w="371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57DEF96C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PPV</w:t>
            </w:r>
          </w:p>
        </w:tc>
        <w:tc>
          <w:tcPr>
            <w:tcW w:w="326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20139108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Confirmed / total</w:t>
            </w:r>
          </w:p>
        </w:tc>
        <w:tc>
          <w:tcPr>
            <w:tcW w:w="372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9AFAFDB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PPV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53FA372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Confirmed / total</w:t>
            </w:r>
          </w:p>
        </w:tc>
        <w:tc>
          <w:tcPr>
            <w:tcW w:w="413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4121CD45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PPV</w:t>
            </w:r>
          </w:p>
        </w:tc>
        <w:tc>
          <w:tcPr>
            <w:tcW w:w="328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48CCB99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Confirmed / total</w:t>
            </w:r>
          </w:p>
        </w:tc>
        <w:tc>
          <w:tcPr>
            <w:tcW w:w="319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2D56" w:themeColor="background2" w:themeShade="BF"/>
            </w:tcBorders>
            <w:vAlign w:val="center"/>
          </w:tcPr>
          <w:p w14:paraId="70F7BFEC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PPV</w:t>
            </w:r>
          </w:p>
        </w:tc>
      </w:tr>
      <w:tr w:rsidR="00342923" w:rsidRPr="00342923" w14:paraId="59BB0A03" w14:textId="77777777" w:rsidTr="00342923">
        <w:trPr>
          <w:cantSplit/>
          <w:trHeight w:val="413"/>
        </w:trPr>
        <w:tc>
          <w:tcPr>
            <w:tcW w:w="415" w:type="pct"/>
            <w:tcBorders>
              <w:top w:val="single" w:sz="4" w:space="0" w:color="003D73" w:themeColor="background2"/>
              <w:left w:val="single" w:sz="4" w:space="0" w:color="002D56" w:themeColor="background2" w:themeShade="BF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426F47A9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Amyloidosis overall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421CF10A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313 / 334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6B57F3E2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94 (91–96)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28340A7B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11 / 14</w:t>
            </w:r>
          </w:p>
        </w:tc>
        <w:tc>
          <w:tcPr>
            <w:tcW w:w="278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6F82E16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33 (6–79)</w:t>
            </w:r>
          </w:p>
        </w:tc>
        <w:tc>
          <w:tcPr>
            <w:tcW w:w="320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0B0D3822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7</w:t>
            </w:r>
          </w:p>
        </w:tc>
        <w:tc>
          <w:tcPr>
            <w:tcW w:w="235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152F276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4D08477B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 / 6</w:t>
            </w:r>
          </w:p>
        </w:tc>
        <w:tc>
          <w:tcPr>
            <w:tcW w:w="371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51AB0D14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83 (44–97)</w:t>
            </w:r>
          </w:p>
        </w:tc>
        <w:tc>
          <w:tcPr>
            <w:tcW w:w="326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2A21987A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15 / 15</w:t>
            </w:r>
          </w:p>
        </w:tc>
        <w:tc>
          <w:tcPr>
            <w:tcW w:w="372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65E33C7C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100 (80–100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59945BC7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49 / 50</w:t>
            </w:r>
          </w:p>
        </w:tc>
        <w:tc>
          <w:tcPr>
            <w:tcW w:w="413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B91CF5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98 (90–99)</w:t>
            </w:r>
          </w:p>
        </w:tc>
        <w:tc>
          <w:tcPr>
            <w:tcW w:w="328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13CCF61C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224 / 234</w:t>
            </w:r>
          </w:p>
        </w:tc>
        <w:tc>
          <w:tcPr>
            <w:tcW w:w="319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2D56" w:themeColor="background2" w:themeShade="BF"/>
            </w:tcBorders>
            <w:vAlign w:val="center"/>
          </w:tcPr>
          <w:p w14:paraId="390A430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96 (92–98)</w:t>
            </w:r>
          </w:p>
        </w:tc>
      </w:tr>
      <w:tr w:rsidR="00342923" w:rsidRPr="00342923" w14:paraId="23CEAA51" w14:textId="77777777" w:rsidTr="00342923">
        <w:trPr>
          <w:cantSplit/>
          <w:trHeight w:val="319"/>
        </w:trPr>
        <w:tc>
          <w:tcPr>
            <w:tcW w:w="415" w:type="pct"/>
            <w:tcBorders>
              <w:top w:val="single" w:sz="4" w:space="0" w:color="003D73" w:themeColor="background2"/>
              <w:left w:val="single" w:sz="4" w:space="0" w:color="002D56" w:themeColor="background2" w:themeShade="BF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777BE915" w14:textId="77777777" w:rsidR="00342923" w:rsidRPr="00342923" w:rsidRDefault="00342923" w:rsidP="00FC1850">
            <w:pPr>
              <w:adjustRightInd w:val="0"/>
              <w:spacing w:line="240" w:lineRule="auto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ATTRwt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67A9BC38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217 / 334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75A69844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65 (60–79)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132C6670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/14</w:t>
            </w:r>
          </w:p>
        </w:tc>
        <w:tc>
          <w:tcPr>
            <w:tcW w:w="278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962825F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0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43304C6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7</w:t>
            </w:r>
          </w:p>
        </w:tc>
        <w:tc>
          <w:tcPr>
            <w:tcW w:w="235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EEF0539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22A82956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6</w:t>
            </w:r>
          </w:p>
        </w:tc>
        <w:tc>
          <w:tcPr>
            <w:tcW w:w="371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846829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6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340D879E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6 / 15</w:t>
            </w:r>
          </w:p>
        </w:tc>
        <w:tc>
          <w:tcPr>
            <w:tcW w:w="372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0618964A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42 (20–64)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784A38D8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50</w:t>
            </w:r>
          </w:p>
        </w:tc>
        <w:tc>
          <w:tcPr>
            <w:tcW w:w="413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5273BDD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8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3D47A9D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42923">
              <w:rPr>
                <w:bCs/>
                <w:sz w:val="16"/>
                <w:szCs w:val="16"/>
              </w:rPr>
              <w:t>200 / 234</w:t>
            </w:r>
          </w:p>
        </w:tc>
        <w:tc>
          <w:tcPr>
            <w:tcW w:w="319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2D56" w:themeColor="background2" w:themeShade="BF"/>
            </w:tcBorders>
            <w:vAlign w:val="center"/>
          </w:tcPr>
          <w:p w14:paraId="014A8B4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42923">
              <w:rPr>
                <w:bCs/>
                <w:sz w:val="16"/>
                <w:szCs w:val="16"/>
              </w:rPr>
              <w:t>85 (80–90)</w:t>
            </w:r>
          </w:p>
        </w:tc>
      </w:tr>
      <w:tr w:rsidR="00342923" w:rsidRPr="00342923" w14:paraId="0890C6C2" w14:textId="77777777" w:rsidTr="00342923">
        <w:trPr>
          <w:cantSplit/>
          <w:trHeight w:val="499"/>
        </w:trPr>
        <w:tc>
          <w:tcPr>
            <w:tcW w:w="415" w:type="pct"/>
            <w:tcBorders>
              <w:top w:val="single" w:sz="4" w:space="0" w:color="003D73" w:themeColor="background2"/>
              <w:left w:val="single" w:sz="4" w:space="0" w:color="002D56" w:themeColor="background2" w:themeShade="BF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4A68B8BF" w14:textId="77777777" w:rsidR="00342923" w:rsidRPr="00342923" w:rsidRDefault="00342923" w:rsidP="00FC1850">
            <w:pPr>
              <w:adjustRightInd w:val="0"/>
              <w:spacing w:line="240" w:lineRule="auto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AL amyloidosis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2E845C2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78 / 334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6CF2CF7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23 (19–28)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74FCC470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14</w:t>
            </w:r>
          </w:p>
        </w:tc>
        <w:tc>
          <w:tcPr>
            <w:tcW w:w="278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008EC2F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0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11598558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7</w:t>
            </w:r>
          </w:p>
        </w:tc>
        <w:tc>
          <w:tcPr>
            <w:tcW w:w="235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325D3246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3C5E6ED6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6</w:t>
            </w:r>
          </w:p>
        </w:tc>
        <w:tc>
          <w:tcPr>
            <w:tcW w:w="371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0DCEE58E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6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55493BF2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8 / 15</w:t>
            </w:r>
          </w:p>
        </w:tc>
        <w:tc>
          <w:tcPr>
            <w:tcW w:w="372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758D9810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53 (30–75)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540FA642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bCs/>
                <w:sz w:val="16"/>
                <w:szCs w:val="16"/>
              </w:rPr>
              <w:t>45 / 50</w:t>
            </w:r>
          </w:p>
        </w:tc>
        <w:tc>
          <w:tcPr>
            <w:tcW w:w="413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776A02F9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bCs/>
                <w:sz w:val="16"/>
                <w:szCs w:val="16"/>
              </w:rPr>
              <w:t>90 (79–96)</w:t>
            </w:r>
          </w:p>
        </w:tc>
        <w:tc>
          <w:tcPr>
            <w:tcW w:w="328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3900F1DC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19 / 234</w:t>
            </w:r>
          </w:p>
        </w:tc>
        <w:tc>
          <w:tcPr>
            <w:tcW w:w="319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2D56" w:themeColor="background2" w:themeShade="BF"/>
            </w:tcBorders>
            <w:vAlign w:val="center"/>
          </w:tcPr>
          <w:p w14:paraId="744B51DF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8 (5–12)</w:t>
            </w:r>
          </w:p>
        </w:tc>
      </w:tr>
      <w:tr w:rsidR="00342923" w:rsidRPr="00342923" w14:paraId="117DAB3D" w14:textId="77777777" w:rsidTr="00342923">
        <w:trPr>
          <w:cantSplit/>
          <w:trHeight w:val="313"/>
        </w:trPr>
        <w:tc>
          <w:tcPr>
            <w:tcW w:w="415" w:type="pct"/>
            <w:tcBorders>
              <w:top w:val="single" w:sz="4" w:space="0" w:color="003D73" w:themeColor="background2"/>
              <w:left w:val="single" w:sz="4" w:space="0" w:color="002D56" w:themeColor="background2" w:themeShade="BF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3525C5F0" w14:textId="77777777" w:rsidR="00342923" w:rsidRPr="00342923" w:rsidRDefault="00342923" w:rsidP="00FC1850">
            <w:pPr>
              <w:adjustRightInd w:val="0"/>
              <w:spacing w:line="240" w:lineRule="auto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ATTRv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05274A47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11 / 334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4F594136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3 (2–6)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2E279008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bCs/>
                <w:sz w:val="16"/>
                <w:szCs w:val="16"/>
              </w:rPr>
              <w:t>8 / 14</w:t>
            </w:r>
          </w:p>
        </w:tc>
        <w:tc>
          <w:tcPr>
            <w:tcW w:w="278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3ECD4D76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bCs/>
                <w:sz w:val="16"/>
                <w:szCs w:val="16"/>
              </w:rPr>
              <w:t>57 (33–79)</w:t>
            </w:r>
          </w:p>
        </w:tc>
        <w:tc>
          <w:tcPr>
            <w:tcW w:w="320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65217770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7</w:t>
            </w:r>
          </w:p>
        </w:tc>
        <w:tc>
          <w:tcPr>
            <w:tcW w:w="235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4FF00025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454259F7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6</w:t>
            </w:r>
          </w:p>
        </w:tc>
        <w:tc>
          <w:tcPr>
            <w:tcW w:w="371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1D82405C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6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28EBC4EB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15</w:t>
            </w:r>
          </w:p>
        </w:tc>
        <w:tc>
          <w:tcPr>
            <w:tcW w:w="372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77EE2763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0669EDC4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50</w:t>
            </w:r>
          </w:p>
        </w:tc>
        <w:tc>
          <w:tcPr>
            <w:tcW w:w="413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3D73" w:themeColor="background2"/>
            </w:tcBorders>
            <w:vAlign w:val="center"/>
          </w:tcPr>
          <w:p w14:paraId="28D321CA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8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3D73" w:themeColor="background2"/>
            </w:tcBorders>
            <w:vAlign w:val="center"/>
          </w:tcPr>
          <w:p w14:paraId="46C414F4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234</w:t>
            </w:r>
          </w:p>
        </w:tc>
        <w:tc>
          <w:tcPr>
            <w:tcW w:w="319" w:type="pct"/>
            <w:tcBorders>
              <w:top w:val="single" w:sz="4" w:space="0" w:color="003D73" w:themeColor="background2"/>
              <w:bottom w:val="single" w:sz="4" w:space="0" w:color="003D73" w:themeColor="background2"/>
              <w:right w:val="single" w:sz="4" w:space="0" w:color="002D56" w:themeColor="background2" w:themeShade="BF"/>
            </w:tcBorders>
            <w:vAlign w:val="center"/>
          </w:tcPr>
          <w:p w14:paraId="6B64B4EC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</w:tr>
      <w:tr w:rsidR="00342923" w:rsidRPr="00342923" w14:paraId="2587DF24" w14:textId="77777777" w:rsidTr="00342923">
        <w:trPr>
          <w:cantSplit/>
          <w:trHeight w:val="665"/>
        </w:trPr>
        <w:tc>
          <w:tcPr>
            <w:tcW w:w="415" w:type="pct"/>
            <w:tcBorders>
              <w:top w:val="single" w:sz="4" w:space="0" w:color="003D73" w:themeColor="background2"/>
              <w:left w:val="single" w:sz="4" w:space="0" w:color="002D56" w:themeColor="background2" w:themeShade="BF"/>
              <w:bottom w:val="single" w:sz="4" w:space="0" w:color="002D56" w:themeColor="background2" w:themeShade="BF"/>
              <w:right w:val="single" w:sz="4" w:space="0" w:color="003D73" w:themeColor="background2"/>
            </w:tcBorders>
            <w:vAlign w:val="center"/>
          </w:tcPr>
          <w:p w14:paraId="1D1EED0C" w14:textId="77777777" w:rsidR="00342923" w:rsidRPr="00342923" w:rsidRDefault="00342923" w:rsidP="00FC1850">
            <w:pPr>
              <w:adjustRightInd w:val="0"/>
              <w:spacing w:line="240" w:lineRule="auto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Other non-prespecified subtypes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2D56" w:themeColor="background2" w:themeShade="BF"/>
            </w:tcBorders>
            <w:vAlign w:val="center"/>
          </w:tcPr>
          <w:p w14:paraId="4678AD7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7 / 334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bottom w:val="single" w:sz="4" w:space="0" w:color="002D56" w:themeColor="background2" w:themeShade="BF"/>
              <w:right w:val="single" w:sz="4" w:space="0" w:color="003D73" w:themeColor="background2"/>
            </w:tcBorders>
            <w:vAlign w:val="center"/>
          </w:tcPr>
          <w:p w14:paraId="1EA297DA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2 (1–4)</w:t>
            </w:r>
          </w:p>
        </w:tc>
        <w:tc>
          <w:tcPr>
            <w:tcW w:w="324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2D56" w:themeColor="background2" w:themeShade="BF"/>
            </w:tcBorders>
            <w:vAlign w:val="center"/>
          </w:tcPr>
          <w:p w14:paraId="5EA84AD4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14</w:t>
            </w:r>
          </w:p>
        </w:tc>
        <w:tc>
          <w:tcPr>
            <w:tcW w:w="278" w:type="pct"/>
            <w:tcBorders>
              <w:top w:val="single" w:sz="4" w:space="0" w:color="003D73" w:themeColor="background2"/>
              <w:bottom w:val="single" w:sz="4" w:space="0" w:color="002D56" w:themeColor="background2" w:themeShade="BF"/>
              <w:right w:val="single" w:sz="4" w:space="0" w:color="003D73" w:themeColor="background2"/>
            </w:tcBorders>
            <w:vAlign w:val="center"/>
          </w:tcPr>
          <w:p w14:paraId="794B8F8A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0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2D56" w:themeColor="background2" w:themeShade="BF"/>
            </w:tcBorders>
            <w:vAlign w:val="center"/>
          </w:tcPr>
          <w:p w14:paraId="62CE89E1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7</w:t>
            </w:r>
          </w:p>
        </w:tc>
        <w:tc>
          <w:tcPr>
            <w:tcW w:w="235" w:type="pct"/>
            <w:tcBorders>
              <w:top w:val="single" w:sz="4" w:space="0" w:color="003D73" w:themeColor="background2"/>
              <w:bottom w:val="single" w:sz="4" w:space="0" w:color="002D56" w:themeColor="background2" w:themeShade="BF"/>
              <w:right w:val="single" w:sz="4" w:space="0" w:color="003D73" w:themeColor="background2"/>
            </w:tcBorders>
            <w:vAlign w:val="center"/>
          </w:tcPr>
          <w:p w14:paraId="288C7A8B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2D56" w:themeColor="background2" w:themeShade="BF"/>
            </w:tcBorders>
            <w:vAlign w:val="center"/>
          </w:tcPr>
          <w:p w14:paraId="3045FF5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6</w:t>
            </w:r>
          </w:p>
        </w:tc>
        <w:tc>
          <w:tcPr>
            <w:tcW w:w="371" w:type="pct"/>
            <w:tcBorders>
              <w:top w:val="single" w:sz="4" w:space="0" w:color="003D73" w:themeColor="background2"/>
              <w:bottom w:val="single" w:sz="4" w:space="0" w:color="002D56" w:themeColor="background2" w:themeShade="BF"/>
              <w:right w:val="single" w:sz="4" w:space="0" w:color="003D73" w:themeColor="background2"/>
            </w:tcBorders>
            <w:vAlign w:val="center"/>
          </w:tcPr>
          <w:p w14:paraId="08625699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6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2D56" w:themeColor="background2" w:themeShade="BF"/>
            </w:tcBorders>
            <w:vAlign w:val="center"/>
          </w:tcPr>
          <w:p w14:paraId="3FA0EDD2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15</w:t>
            </w:r>
          </w:p>
        </w:tc>
        <w:tc>
          <w:tcPr>
            <w:tcW w:w="372" w:type="pct"/>
            <w:tcBorders>
              <w:top w:val="single" w:sz="4" w:space="0" w:color="003D73" w:themeColor="background2"/>
              <w:bottom w:val="single" w:sz="4" w:space="0" w:color="002D56" w:themeColor="background2" w:themeShade="BF"/>
              <w:right w:val="single" w:sz="4" w:space="0" w:color="003D73" w:themeColor="background2"/>
            </w:tcBorders>
            <w:vAlign w:val="center"/>
          </w:tcPr>
          <w:p w14:paraId="1BD05AA5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5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2D56" w:themeColor="background2" w:themeShade="BF"/>
            </w:tcBorders>
            <w:vAlign w:val="center"/>
          </w:tcPr>
          <w:p w14:paraId="23323F1D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50</w:t>
            </w:r>
          </w:p>
        </w:tc>
        <w:tc>
          <w:tcPr>
            <w:tcW w:w="413" w:type="pct"/>
            <w:tcBorders>
              <w:top w:val="single" w:sz="4" w:space="0" w:color="003D73" w:themeColor="background2"/>
              <w:bottom w:val="single" w:sz="4" w:space="0" w:color="002D56" w:themeColor="background2" w:themeShade="BF"/>
              <w:right w:val="single" w:sz="4" w:space="0" w:color="003D73" w:themeColor="background2"/>
            </w:tcBorders>
            <w:vAlign w:val="center"/>
          </w:tcPr>
          <w:p w14:paraId="59AC06D6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  <w:tc>
          <w:tcPr>
            <w:tcW w:w="328" w:type="pct"/>
            <w:tcBorders>
              <w:top w:val="single" w:sz="4" w:space="0" w:color="003D73" w:themeColor="background2"/>
              <w:left w:val="single" w:sz="4" w:space="0" w:color="003D73" w:themeColor="background2"/>
              <w:bottom w:val="single" w:sz="4" w:space="0" w:color="002D56" w:themeColor="background2" w:themeShade="BF"/>
            </w:tcBorders>
            <w:vAlign w:val="center"/>
          </w:tcPr>
          <w:p w14:paraId="378F2EA3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5&gt; / 234</w:t>
            </w:r>
          </w:p>
        </w:tc>
        <w:tc>
          <w:tcPr>
            <w:tcW w:w="319" w:type="pct"/>
            <w:tcBorders>
              <w:top w:val="single" w:sz="4" w:space="0" w:color="003D73" w:themeColor="background2"/>
              <w:bottom w:val="single" w:sz="4" w:space="0" w:color="002D56" w:themeColor="background2" w:themeShade="BF"/>
              <w:right w:val="single" w:sz="4" w:space="0" w:color="002D56" w:themeColor="background2" w:themeShade="BF"/>
            </w:tcBorders>
            <w:vAlign w:val="center"/>
          </w:tcPr>
          <w:p w14:paraId="0AFCF677" w14:textId="77777777" w:rsidR="00342923" w:rsidRPr="00342923" w:rsidRDefault="00342923" w:rsidP="00FC1850">
            <w:pPr>
              <w:adjustRightInd w:val="0"/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342923">
              <w:rPr>
                <w:sz w:val="16"/>
                <w:szCs w:val="16"/>
              </w:rPr>
              <w:t>-</w:t>
            </w:r>
          </w:p>
        </w:tc>
      </w:tr>
    </w:tbl>
    <w:p w14:paraId="68882C7C" w14:textId="77777777" w:rsidR="00342923" w:rsidRPr="00342923" w:rsidRDefault="00342923" w:rsidP="00342923">
      <w:pPr>
        <w:spacing w:line="240" w:lineRule="auto"/>
        <w:rPr>
          <w:rStyle w:val="Fremhv"/>
          <w:rFonts w:ascii="Times New Roman" w:eastAsiaTheme="majorEastAsia" w:hAnsi="Times New Roman"/>
          <w:i w:val="0"/>
          <w:iCs w:val="0"/>
          <w:color w:val="000000" w:themeColor="text1"/>
          <w:sz w:val="18"/>
          <w:szCs w:val="18"/>
        </w:rPr>
      </w:pPr>
      <w:r w:rsidRPr="00342923">
        <w:rPr>
          <w:rStyle w:val="Fremhv"/>
          <w:rFonts w:ascii="Times New Roman" w:eastAsiaTheme="majorEastAsia" w:hAnsi="Times New Roman"/>
          <w:b/>
          <w:bCs/>
          <w:i w:val="0"/>
          <w:iCs w:val="0"/>
          <w:color w:val="000000" w:themeColor="text1"/>
          <w:sz w:val="18"/>
          <w:szCs w:val="18"/>
        </w:rPr>
        <w:t>Abbreviations</w:t>
      </w:r>
      <w:r w:rsidRPr="00342923">
        <w:rPr>
          <w:rStyle w:val="Fremhv"/>
          <w:rFonts w:ascii="Times New Roman" w:eastAsiaTheme="majorEastAsia" w:hAnsi="Times New Roman"/>
          <w:i w:val="0"/>
          <w:iCs w:val="0"/>
          <w:color w:val="000000" w:themeColor="text1"/>
          <w:sz w:val="18"/>
          <w:szCs w:val="18"/>
        </w:rPr>
        <w:t>: AL, amyloid light chain; ATTRv, variant transthyretin amyloidosis; ATTRwt, wild-type transthyretin amyloidosis; PPV, positive predictive value; UNS, unspecified</w:t>
      </w:r>
    </w:p>
    <w:p w14:paraId="4B1F8B08" w14:textId="77777777" w:rsidR="00342923" w:rsidRPr="00342923" w:rsidRDefault="00342923" w:rsidP="00342923">
      <w:pPr>
        <w:snapToGrid w:val="0"/>
        <w:spacing w:line="240" w:lineRule="auto"/>
        <w:rPr>
          <w:rStyle w:val="Fremhv"/>
          <w:rFonts w:ascii="Times New Roman" w:eastAsiaTheme="majorEastAsia" w:hAnsi="Times New Roman"/>
          <w:i w:val="0"/>
          <w:iCs w:val="0"/>
          <w:color w:val="000000" w:themeColor="text1"/>
          <w:sz w:val="18"/>
          <w:szCs w:val="18"/>
        </w:rPr>
      </w:pPr>
      <w:r w:rsidRPr="00342923">
        <w:rPr>
          <w:rStyle w:val="Fremhv"/>
          <w:rFonts w:ascii="Times New Roman" w:eastAsiaTheme="majorEastAsia" w:hAnsi="Times New Roman"/>
          <w:i w:val="0"/>
          <w:iCs w:val="0"/>
          <w:color w:val="000000" w:themeColor="text1"/>
          <w:sz w:val="18"/>
          <w:szCs w:val="18"/>
        </w:rPr>
        <w:t>PPV is shown with estimate (95% confidence interval).</w:t>
      </w:r>
    </w:p>
    <w:p w14:paraId="142580A9" w14:textId="77777777" w:rsidR="00342923" w:rsidRPr="00342923" w:rsidRDefault="00342923" w:rsidP="00342923">
      <w:pPr>
        <w:spacing w:line="240" w:lineRule="auto"/>
        <w:rPr>
          <w:rStyle w:val="Fremhv"/>
          <w:rFonts w:ascii="Times New Roman" w:eastAsiaTheme="majorEastAsia" w:hAnsi="Times New Roman"/>
          <w:i w:val="0"/>
          <w:iCs w:val="0"/>
          <w:color w:val="000000" w:themeColor="text1"/>
          <w:sz w:val="18"/>
          <w:szCs w:val="18"/>
        </w:rPr>
      </w:pPr>
      <w:r w:rsidRPr="00342923">
        <w:rPr>
          <w:rStyle w:val="Fremhv"/>
          <w:rFonts w:ascii="Times New Roman" w:eastAsiaTheme="majorEastAsia" w:hAnsi="Times New Roman"/>
          <w:i w:val="0"/>
          <w:iCs w:val="0"/>
          <w:color w:val="000000" w:themeColor="text1"/>
          <w:sz w:val="18"/>
          <w:szCs w:val="18"/>
        </w:rPr>
        <w:t>All results with less than 5 observations are not specified.</w:t>
      </w:r>
    </w:p>
    <w:p w14:paraId="7DC58332" w14:textId="77777777" w:rsidR="00342923" w:rsidRPr="00342923" w:rsidRDefault="00342923" w:rsidP="00342923">
      <w:pPr>
        <w:spacing w:line="240" w:lineRule="auto"/>
        <w:rPr>
          <w:rStyle w:val="Fremhv"/>
          <w:rFonts w:ascii="Times New Roman" w:eastAsiaTheme="majorEastAsia" w:hAnsi="Times New Roman"/>
          <w:i w:val="0"/>
          <w:iCs w:val="0"/>
          <w:color w:val="000000" w:themeColor="text1"/>
          <w:sz w:val="18"/>
          <w:szCs w:val="18"/>
        </w:rPr>
      </w:pPr>
      <w:r w:rsidRPr="00342923">
        <w:rPr>
          <w:rStyle w:val="Fremhv"/>
          <w:rFonts w:ascii="Times New Roman" w:eastAsiaTheme="majorEastAsia" w:hAnsi="Times New Roman"/>
          <w:i w:val="0"/>
          <w:iCs w:val="0"/>
          <w:color w:val="000000" w:themeColor="text1"/>
          <w:sz w:val="18"/>
          <w:szCs w:val="18"/>
        </w:rPr>
        <w:t>DE85 (Amyloidosis) and DE858 (Other amyloidosis) not specified due to fewer than 5 total registrations, and DE850A (Familial Mediterranean fever) was excluded by design.</w:t>
      </w:r>
    </w:p>
    <w:p w14:paraId="1D471106" w14:textId="77777777" w:rsidR="00342923" w:rsidRPr="00342923" w:rsidRDefault="00342923" w:rsidP="00342923">
      <w:pPr>
        <w:spacing w:after="160" w:line="259" w:lineRule="auto"/>
        <w:rPr>
          <w:rFonts w:eastAsiaTheme="minorHAnsi"/>
          <w:color w:val="000000"/>
          <w:sz w:val="18"/>
          <w:szCs w:val="18"/>
          <w:lang w:eastAsia="en-US"/>
        </w:rPr>
      </w:pPr>
      <w:r w:rsidRPr="00342923">
        <w:rPr>
          <w:rFonts w:eastAsiaTheme="minorHAnsi"/>
          <w:color w:val="000000"/>
          <w:sz w:val="18"/>
          <w:szCs w:val="18"/>
          <w:lang w:eastAsia="en-US"/>
        </w:rPr>
        <w:t>All ICD-10 amyloidosis diagnosis groups are: Primary or secondary, inpatient or outpatient ICD-10 diagnoses.</w:t>
      </w:r>
    </w:p>
    <w:p w14:paraId="4A64D065" w14:textId="77777777" w:rsidR="00342923" w:rsidRPr="00342923" w:rsidRDefault="00342923" w:rsidP="00342923">
      <w:pPr>
        <w:spacing w:after="160" w:line="259" w:lineRule="auto"/>
        <w:rPr>
          <w:rFonts w:eastAsiaTheme="minorHAnsi"/>
          <w:color w:val="000000"/>
          <w:sz w:val="18"/>
          <w:szCs w:val="18"/>
          <w:lang w:eastAsia="en-US"/>
        </w:rPr>
      </w:pPr>
    </w:p>
    <w:p w14:paraId="189B9BE5" w14:textId="77777777" w:rsidR="00342923" w:rsidRPr="00342923" w:rsidRDefault="00342923" w:rsidP="00342923">
      <w:pPr>
        <w:spacing w:after="160" w:line="259" w:lineRule="auto"/>
        <w:rPr>
          <w:rFonts w:eastAsiaTheme="minorHAnsi"/>
          <w:color w:val="000000"/>
          <w:sz w:val="18"/>
          <w:szCs w:val="18"/>
          <w:lang w:eastAsia="en-US"/>
        </w:rPr>
      </w:pPr>
    </w:p>
    <w:p w14:paraId="24B85491" w14:textId="77777777" w:rsidR="00342923" w:rsidRPr="00342923" w:rsidRDefault="00342923" w:rsidP="00342923">
      <w:pPr>
        <w:spacing w:after="160" w:line="259" w:lineRule="auto"/>
        <w:rPr>
          <w:rFonts w:eastAsiaTheme="minorHAnsi"/>
          <w:color w:val="000000"/>
          <w:sz w:val="18"/>
          <w:szCs w:val="18"/>
          <w:lang w:eastAsia="en-US"/>
        </w:rPr>
      </w:pPr>
    </w:p>
    <w:p w14:paraId="4E91173E" w14:textId="77777777" w:rsidR="00342923" w:rsidRPr="00342923" w:rsidRDefault="00342923" w:rsidP="00342923">
      <w:pPr>
        <w:spacing w:after="160" w:line="259" w:lineRule="auto"/>
        <w:rPr>
          <w:rFonts w:eastAsiaTheme="minorHAnsi"/>
          <w:color w:val="000000"/>
          <w:sz w:val="18"/>
          <w:szCs w:val="18"/>
          <w:lang w:eastAsia="en-US"/>
        </w:rPr>
      </w:pPr>
    </w:p>
    <w:p w14:paraId="2F3573D3" w14:textId="77777777" w:rsidR="00342923" w:rsidRPr="00342923" w:rsidRDefault="00342923" w:rsidP="00342923">
      <w:pPr>
        <w:spacing w:after="160" w:line="259" w:lineRule="auto"/>
        <w:rPr>
          <w:rFonts w:eastAsiaTheme="majorEastAsia"/>
          <w:color w:val="000000" w:themeColor="text1"/>
          <w:sz w:val="16"/>
          <w:szCs w:val="16"/>
        </w:rPr>
      </w:pPr>
    </w:p>
    <w:p w14:paraId="22B5C3F1" w14:textId="77777777" w:rsidR="00404FD1" w:rsidRPr="00342923" w:rsidRDefault="00404FD1" w:rsidP="007146EF"/>
    <w:sectPr w:rsidR="00404FD1" w:rsidRPr="00342923" w:rsidSect="003429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6840" w:h="11907" w:orient="landscape" w:code="9"/>
      <w:pgMar w:top="1134" w:right="1701" w:bottom="1134" w:left="1701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F6362" w14:textId="77777777" w:rsidR="000826AB" w:rsidRPr="005A5846" w:rsidRDefault="000826AB">
      <w:r w:rsidRPr="005A5846">
        <w:separator/>
      </w:r>
    </w:p>
  </w:endnote>
  <w:endnote w:type="continuationSeparator" w:id="0">
    <w:p w14:paraId="68E507B4" w14:textId="77777777" w:rsidR="000826AB" w:rsidRPr="005A5846" w:rsidRDefault="000826AB">
      <w:r w:rsidRPr="005A58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1E683C-D6BE-4268-BB13-DFA75DF5E653}"/>
    <w:embedBold r:id="rId2" w:fontKey="{15B7D10A-4640-4505-AD8B-6BD424D20A35}"/>
    <w:embedItalic r:id="rId3" w:fontKey="{61C3E868-CDD0-4F82-BFB6-4F44855231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73E7725-BD93-4D80-858F-56E384633522}"/>
    <w:embedBold r:id="rId5" w:fontKey="{456DE160-5280-4E1B-BB3C-6D0665C084B2}"/>
    <w:embedItalic r:id="rId6" w:fontKey="{B4B34BC5-7606-4276-BE9D-CAD84A9DF042}"/>
    <w:embedBoldItalic r:id="rId7" w:fontKey="{F31F5D67-8C8D-4B1E-8F53-3E8DE399D553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AA1EAAB8-8290-43FA-B7CE-18126A6C47C1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EF11EC48-FD2D-4613-9047-1E4E2299EB68}"/>
    <w:embedBold r:id="rId10" w:fontKey="{5924C5E4-8BFD-4335-95E3-4F1921402991}"/>
    <w:embedItalic r:id="rId11" w:fontKey="{B7CBB9F9-DEEB-4103-8206-E35C935099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7A5FBD4-15B6-4E7C-A696-7666BEA1F9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AA3B8CC-09DE-4D41-907B-B2BA418AC28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AF84A399-E37D-4C90-A093-9BE263C72500}"/>
    <w:embedBold r:id="rId15" w:fontKey="{5201C8EF-A6D1-4416-87B8-2AD90FA784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238E295D-9DAE-4CF7-A935-116C7C6E8C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8A169" w14:textId="77777777" w:rsidR="006D5CFC" w:rsidRPr="005A5846" w:rsidRDefault="006D5C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43E42" w14:textId="77777777" w:rsidR="00336DC5" w:rsidRPr="005A5846" w:rsidRDefault="00336DC5" w:rsidP="00D2719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17F29" w14:textId="77777777" w:rsidR="00CB7E17" w:rsidRPr="005A5846" w:rsidRDefault="00CB7E17" w:rsidP="00D271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92C1D" w14:textId="77777777" w:rsidR="000826AB" w:rsidRPr="005A5846" w:rsidRDefault="000826AB">
      <w:r w:rsidRPr="005A5846">
        <w:separator/>
      </w:r>
    </w:p>
  </w:footnote>
  <w:footnote w:type="continuationSeparator" w:id="0">
    <w:p w14:paraId="65867DA1" w14:textId="77777777" w:rsidR="000826AB" w:rsidRPr="005A5846" w:rsidRDefault="000826AB">
      <w:r w:rsidRPr="005A584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D7160" w14:textId="77777777" w:rsidR="006D5CFC" w:rsidRPr="005A5846" w:rsidRDefault="006D5CF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0ED92" w14:textId="77777777" w:rsidR="00160373" w:rsidRPr="005A5846" w:rsidRDefault="00160373" w:rsidP="00D27191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A0999" w14:textId="77777777" w:rsidR="00160373" w:rsidRPr="005A5846" w:rsidRDefault="00160373" w:rsidP="00D2719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1C27957"/>
    <w:multiLevelType w:val="hybridMultilevel"/>
    <w:tmpl w:val="8A123C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6EAD282A"/>
    <w:multiLevelType w:val="hybridMultilevel"/>
    <w:tmpl w:val="14CADF98"/>
    <w:lvl w:ilvl="0" w:tplc="8086315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8"/>
  </w:num>
  <w:num w:numId="2" w16cid:durableId="1466388565">
    <w:abstractNumId w:val="10"/>
  </w:num>
  <w:num w:numId="3" w16cid:durableId="1146776149">
    <w:abstractNumId w:val="16"/>
  </w:num>
  <w:num w:numId="4" w16cid:durableId="826554393">
    <w:abstractNumId w:val="12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5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1"/>
  </w:num>
  <w:num w:numId="15" w16cid:durableId="1143959197">
    <w:abstractNumId w:val="23"/>
  </w:num>
  <w:num w:numId="16" w16cid:durableId="1695569496">
    <w:abstractNumId w:val="20"/>
  </w:num>
  <w:num w:numId="17" w16cid:durableId="1333147944">
    <w:abstractNumId w:val="13"/>
  </w:num>
  <w:num w:numId="18" w16cid:durableId="1651203249">
    <w:abstractNumId w:val="19"/>
  </w:num>
  <w:num w:numId="19" w16cid:durableId="169609232">
    <w:abstractNumId w:val="14"/>
  </w:num>
  <w:num w:numId="20" w16cid:durableId="1362901738">
    <w:abstractNumId w:val="11"/>
  </w:num>
  <w:num w:numId="21" w16cid:durableId="260719187">
    <w:abstractNumId w:val="0"/>
  </w:num>
  <w:num w:numId="22" w16cid:durableId="1426030363">
    <w:abstractNumId w:val="9"/>
  </w:num>
  <w:num w:numId="23" w16cid:durableId="1283416280">
    <w:abstractNumId w:val="17"/>
  </w:num>
  <w:num w:numId="24" w16cid:durableId="736509643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923"/>
    <w:rsid w:val="000011FF"/>
    <w:rsid w:val="00003B6C"/>
    <w:rsid w:val="000221B7"/>
    <w:rsid w:val="00024F8C"/>
    <w:rsid w:val="00027431"/>
    <w:rsid w:val="00032B4F"/>
    <w:rsid w:val="00051A09"/>
    <w:rsid w:val="00054B15"/>
    <w:rsid w:val="000553F3"/>
    <w:rsid w:val="000570AD"/>
    <w:rsid w:val="00062161"/>
    <w:rsid w:val="00065C0F"/>
    <w:rsid w:val="00074AEF"/>
    <w:rsid w:val="000826AB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E15E4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7476E"/>
    <w:rsid w:val="00281A57"/>
    <w:rsid w:val="00284BB8"/>
    <w:rsid w:val="0028579D"/>
    <w:rsid w:val="002A4E23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6DC5"/>
    <w:rsid w:val="0034014F"/>
    <w:rsid w:val="0034031E"/>
    <w:rsid w:val="0034099C"/>
    <w:rsid w:val="00342923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04FD1"/>
    <w:rsid w:val="00411A1B"/>
    <w:rsid w:val="00423170"/>
    <w:rsid w:val="004262ED"/>
    <w:rsid w:val="0043392E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5846"/>
    <w:rsid w:val="005A641C"/>
    <w:rsid w:val="005B1DAA"/>
    <w:rsid w:val="005B34A3"/>
    <w:rsid w:val="005C13F3"/>
    <w:rsid w:val="005C7510"/>
    <w:rsid w:val="005D11FE"/>
    <w:rsid w:val="005D5DAA"/>
    <w:rsid w:val="005E6CB9"/>
    <w:rsid w:val="005E7195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1D28"/>
    <w:rsid w:val="00683BE2"/>
    <w:rsid w:val="0069128A"/>
    <w:rsid w:val="006964C1"/>
    <w:rsid w:val="006971AA"/>
    <w:rsid w:val="006A2502"/>
    <w:rsid w:val="006A7ADC"/>
    <w:rsid w:val="006B2A52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70345D"/>
    <w:rsid w:val="007146EF"/>
    <w:rsid w:val="0072005E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1E95"/>
    <w:rsid w:val="008C3D75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4066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B0759B"/>
    <w:rsid w:val="00B10D00"/>
    <w:rsid w:val="00B14707"/>
    <w:rsid w:val="00B15221"/>
    <w:rsid w:val="00B313BA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2542"/>
    <w:rsid w:val="00D14768"/>
    <w:rsid w:val="00D16593"/>
    <w:rsid w:val="00D166AE"/>
    <w:rsid w:val="00D16753"/>
    <w:rsid w:val="00D17641"/>
    <w:rsid w:val="00D17CDE"/>
    <w:rsid w:val="00D27191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D2A1D"/>
    <w:rsid w:val="00DE4DE0"/>
    <w:rsid w:val="00DE6F7C"/>
    <w:rsid w:val="00DE7B64"/>
    <w:rsid w:val="00DF2193"/>
    <w:rsid w:val="00E032BB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8411D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57448"/>
    <w:rsid w:val="00F626ED"/>
    <w:rsid w:val="00F7301B"/>
    <w:rsid w:val="00F7428E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D1E179"/>
  <w15:docId w15:val="{5356DE0C-161C-4776-BE07-97ED666F6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342923"/>
    <w:pPr>
      <w:spacing w:line="480" w:lineRule="auto"/>
    </w:pPr>
    <w:rPr>
      <w:rFonts w:ascii="Times New Roman" w:hAnsi="Times New Roman"/>
      <w:sz w:val="24"/>
      <w:szCs w:val="24"/>
      <w:lang w:val="en-GB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D27191"/>
    <w:pPr>
      <w:keepNext/>
      <w:keepLines/>
      <w:spacing w:before="240" w:line="240" w:lineRule="auto"/>
      <w:outlineLvl w:val="0"/>
    </w:pPr>
    <w:rPr>
      <w:rFonts w:ascii="AU Passata Light" w:eastAsiaTheme="majorEastAsia" w:hAnsi="AU Passata Light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autoRedefine/>
    <w:uiPriority w:val="9"/>
    <w:qFormat/>
    <w:rsid w:val="00D27191"/>
    <w:pPr>
      <w:keepNext/>
      <w:keepLines/>
      <w:spacing w:before="40" w:line="240" w:lineRule="auto"/>
      <w:outlineLvl w:val="1"/>
    </w:pPr>
    <w:rPr>
      <w:rFonts w:ascii="AU Passata" w:eastAsiaTheme="majorEastAsia" w:hAnsi="AU Passata" w:cstheme="majorBidi"/>
      <w:b/>
      <w:sz w:val="21"/>
      <w:szCs w:val="21"/>
    </w:rPr>
  </w:style>
  <w:style w:type="paragraph" w:styleId="Overskrift3">
    <w:name w:val="heading 3"/>
    <w:basedOn w:val="Normal"/>
    <w:next w:val="Normal"/>
    <w:link w:val="Overskrift3Tegn"/>
    <w:autoRedefine/>
    <w:uiPriority w:val="1"/>
    <w:qFormat/>
    <w:rsid w:val="00D27191"/>
    <w:pPr>
      <w:keepNext/>
      <w:keepLines/>
      <w:spacing w:before="40" w:line="240" w:lineRule="auto"/>
      <w:outlineLvl w:val="2"/>
    </w:pPr>
    <w:rPr>
      <w:rFonts w:ascii="AU Passata" w:eastAsiaTheme="majorEastAsia" w:hAnsi="AU Passata" w:cstheme="majorBidi"/>
      <w:b/>
      <w:sz w:val="19"/>
    </w:rPr>
  </w:style>
  <w:style w:type="paragraph" w:styleId="Overskrift4">
    <w:name w:val="heading 4"/>
    <w:basedOn w:val="Normal"/>
    <w:next w:val="Normal"/>
    <w:link w:val="Overskrift4Tegn"/>
    <w:autoRedefine/>
    <w:uiPriority w:val="1"/>
    <w:qFormat/>
    <w:rsid w:val="00D27191"/>
    <w:pPr>
      <w:keepNext/>
      <w:keepLines/>
      <w:spacing w:before="40" w:line="240" w:lineRule="auto"/>
      <w:outlineLvl w:val="3"/>
    </w:pPr>
    <w:rPr>
      <w:rFonts w:ascii="AU Passata" w:eastAsiaTheme="majorEastAsia" w:hAnsi="AU Passata" w:cstheme="majorBidi"/>
      <w:b/>
      <w:iCs/>
      <w:sz w:val="17"/>
    </w:rPr>
  </w:style>
  <w:style w:type="paragraph" w:styleId="Overskrift5">
    <w:name w:val="heading 5"/>
    <w:basedOn w:val="Normal"/>
    <w:next w:val="Normal"/>
    <w:link w:val="Overskrift5Tegn"/>
    <w:autoRedefine/>
    <w:uiPriority w:val="1"/>
    <w:semiHidden/>
    <w:rsid w:val="00D27191"/>
    <w:pPr>
      <w:keepNext/>
      <w:keepLines/>
      <w:spacing w:before="40" w:line="240" w:lineRule="auto"/>
      <w:outlineLvl w:val="4"/>
    </w:pPr>
    <w:rPr>
      <w:rFonts w:ascii="AU Passata" w:eastAsiaTheme="majorEastAsia" w:hAnsi="AU Passata" w:cstheme="majorBidi"/>
      <w:sz w:val="17"/>
    </w:rPr>
  </w:style>
  <w:style w:type="paragraph" w:styleId="Overskrift6">
    <w:name w:val="heading 6"/>
    <w:basedOn w:val="Normal"/>
    <w:next w:val="Normal"/>
    <w:link w:val="Overskrift6Tegn"/>
    <w:autoRedefine/>
    <w:uiPriority w:val="1"/>
    <w:semiHidden/>
    <w:rsid w:val="00D27191"/>
    <w:pPr>
      <w:keepNext/>
      <w:keepLines/>
      <w:spacing w:before="40" w:line="240" w:lineRule="auto"/>
      <w:outlineLvl w:val="5"/>
    </w:pPr>
    <w:rPr>
      <w:rFonts w:ascii="AU Passata" w:eastAsiaTheme="majorEastAsia" w:hAnsi="AU Passata" w:cstheme="majorBidi"/>
      <w:i/>
      <w:sz w:val="17"/>
    </w:rPr>
  </w:style>
  <w:style w:type="paragraph" w:styleId="Overskrift7">
    <w:name w:val="heading 7"/>
    <w:basedOn w:val="Normal"/>
    <w:next w:val="Normal"/>
    <w:link w:val="Overskrift7Tegn"/>
    <w:autoRedefine/>
    <w:uiPriority w:val="1"/>
    <w:semiHidden/>
    <w:rsid w:val="00D27191"/>
    <w:pPr>
      <w:keepNext/>
      <w:keepLines/>
      <w:spacing w:before="40" w:line="240" w:lineRule="auto"/>
      <w:outlineLvl w:val="6"/>
    </w:pPr>
    <w:rPr>
      <w:rFonts w:ascii="AU Passata" w:eastAsiaTheme="majorEastAsia" w:hAnsi="AU Passata" w:cstheme="majorBidi"/>
      <w:i/>
      <w:iCs/>
      <w:sz w:val="17"/>
    </w:rPr>
  </w:style>
  <w:style w:type="paragraph" w:styleId="Overskrift8">
    <w:name w:val="heading 8"/>
    <w:basedOn w:val="Normal"/>
    <w:next w:val="Normal"/>
    <w:link w:val="Overskrift8Tegn"/>
    <w:autoRedefine/>
    <w:uiPriority w:val="1"/>
    <w:semiHidden/>
    <w:rsid w:val="00D27191"/>
    <w:pPr>
      <w:keepNext/>
      <w:keepLines/>
      <w:spacing w:before="40" w:line="240" w:lineRule="auto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D27191"/>
    <w:pPr>
      <w:keepNext/>
      <w:keepLines/>
      <w:spacing w:before="40" w:line="240" w:lineRule="auto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link w:val="BilledtekstTegn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basedOn w:val="Standardskrifttypeiafsnit"/>
    <w:uiPriority w:val="20"/>
    <w:qFormat/>
    <w:rsid w:val="00D27191"/>
    <w:rPr>
      <w:rFonts w:ascii="Georgia" w:hAnsi="Georgia"/>
      <w:i/>
      <w:iCs/>
      <w:sz w:val="20"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27191"/>
    <w:rPr>
      <w:vertAlign w:val="superscript"/>
      <w:lang w:val="en-GB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27191"/>
    <w:pPr>
      <w:spacing w:line="240" w:lineRule="auto"/>
    </w:pPr>
    <w:rPr>
      <w:rFonts w:ascii="AU Passata" w:hAnsi="AU Passata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4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4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rsid w:val="005802EE"/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basedOn w:val="Standardskrifttypeiafsnit"/>
    <w:uiPriority w:val="3"/>
    <w:qFormat/>
    <w:rsid w:val="00D27191"/>
    <w:rPr>
      <w:rFonts w:ascii="Georgia" w:hAnsi="Georgia"/>
      <w:b/>
      <w:bCs/>
      <w:sz w:val="20"/>
      <w:lang w:val="en-GB"/>
    </w:rPr>
  </w:style>
  <w:style w:type="paragraph" w:styleId="Undertitel">
    <w:name w:val="Subtitle"/>
    <w:basedOn w:val="Normal"/>
    <w:next w:val="Normal"/>
    <w:link w:val="UndertitelTegn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autoRedefine/>
    <w:uiPriority w:val="2"/>
    <w:qFormat/>
    <w:rsid w:val="00D27191"/>
    <w:pPr>
      <w:spacing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</w:r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uiPriority w:val="99"/>
    <w:unhideWhenUsed/>
    <w:rsid w:val="00D27191"/>
    <w:rPr>
      <w:color w:val="03428E" w:themeColor="hyperlink"/>
      <w:u w:val="singl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uiPriority w:val="39"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7191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</w:rPr>
  </w:style>
  <w:style w:type="character" w:styleId="Kraftigfremhvning">
    <w:name w:val="Intense Emphasis"/>
    <w:basedOn w:val="Standardskrifttypeiafsnit"/>
    <w:uiPriority w:val="3"/>
    <w:qFormat/>
    <w:rsid w:val="00D27191"/>
    <w:rPr>
      <w:rFonts w:ascii="Georgia" w:hAnsi="Georgia"/>
      <w:b/>
      <w:i/>
      <w:iCs/>
      <w:color w:val="auto"/>
      <w:sz w:val="20"/>
      <w:lang w:val="en-GB"/>
    </w:rPr>
  </w:style>
  <w:style w:type="paragraph" w:styleId="Strktcitat">
    <w:name w:val="Intense Quote"/>
    <w:basedOn w:val="Normal"/>
    <w:next w:val="Normal"/>
    <w:link w:val="StrktcitatTegn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styleId="Svaghenvisning">
    <w:name w:val="Subtle Reference"/>
    <w:basedOn w:val="Standardskrifttypeiafsnit"/>
    <w:uiPriority w:val="31"/>
    <w:semiHidden/>
    <w:rsid w:val="00D27191"/>
    <w:rPr>
      <w:rFonts w:ascii="Georgia" w:hAnsi="Georgia"/>
      <w:smallCaps/>
      <w:color w:val="5A5A5A" w:themeColor="text1" w:themeTint="A5"/>
      <w:lang w:val="en-GB"/>
    </w:rPr>
  </w:style>
  <w:style w:type="character" w:styleId="Kraftighenvisning">
    <w:name w:val="Intense Reference"/>
    <w:basedOn w:val="Standardskrifttypeiafsni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en-GB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C662B"/>
    <w:rPr>
      <w:color w:val="808080"/>
      <w:lang w:val="en-GB"/>
    </w:rPr>
  </w:style>
  <w:style w:type="paragraph" w:customStyle="1" w:styleId="Hiddenpageno">
    <w:name w:val="Hidden pageno"/>
    <w:basedOn w:val="Sidefod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191"/>
    <w:rPr>
      <w:rFonts w:ascii="Segoe UI" w:eastAsiaTheme="minorHAnsi" w:hAnsi="Segoe UI" w:cs="Segoe UI"/>
      <w:sz w:val="18"/>
      <w:szCs w:val="18"/>
      <w:lang w:val="en-GB"/>
    </w:rPr>
  </w:style>
  <w:style w:type="character" w:styleId="Bogenstitel">
    <w:name w:val="Book Title"/>
    <w:basedOn w:val="Standardskrifttypeiafsni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en-GB"/>
    </w:rPr>
  </w:style>
  <w:style w:type="character" w:customStyle="1" w:styleId="BilledtekstTegn">
    <w:name w:val="Billedtekst Tegn"/>
    <w:basedOn w:val="Standardskrifttypeiafsnit"/>
    <w:link w:val="Billedtekst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en-GB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</w:rPr>
  </w:style>
  <w:style w:type="character" w:customStyle="1" w:styleId="FigurtitelTegn">
    <w:name w:val="Figurtitel Tegn"/>
    <w:basedOn w:val="Standardskrifttypeiafsni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en-GB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27191"/>
    <w:rPr>
      <w:rFonts w:ascii="AU Passata" w:eastAsiaTheme="minorHAnsi" w:hAnsi="AU Passata" w:cstheme="minorBidi"/>
      <w:sz w:val="14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27191"/>
    <w:rPr>
      <w:rFonts w:ascii="AU Passata Light" w:eastAsiaTheme="majorEastAsia" w:hAnsi="AU Passata Light" w:cstheme="majorBidi"/>
      <w:sz w:val="36"/>
      <w:szCs w:val="36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27191"/>
    <w:rPr>
      <w:rFonts w:ascii="AU Passata" w:eastAsiaTheme="majorEastAsia" w:hAnsi="AU Passata" w:cstheme="majorBidi"/>
      <w:b/>
      <w:sz w:val="21"/>
      <w:szCs w:val="21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D27191"/>
    <w:rPr>
      <w:rFonts w:ascii="AU Passata" w:eastAsiaTheme="majorEastAsia" w:hAnsi="AU Passata" w:cstheme="majorBidi"/>
      <w:b/>
      <w:sz w:val="19"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en-GB"/>
    </w:rPr>
  </w:style>
  <w:style w:type="paragraph" w:styleId="Listeafsnit">
    <w:name w:val="List Paragraph"/>
    <w:basedOn w:val="Normal"/>
    <w:autoRedefine/>
    <w:uiPriority w:val="34"/>
    <w:semiHidden/>
    <w:qFormat/>
    <w:rsid w:val="00D27191"/>
    <w:pPr>
      <w:ind w:left="720"/>
      <w:contextualSpacing/>
    </w:pPr>
  </w:style>
  <w:style w:type="paragraph" w:styleId="Ingenafstand">
    <w:name w:val="No Spacing"/>
    <w:autoRedefine/>
    <w:uiPriority w:val="1"/>
    <w:qFormat/>
    <w:rsid w:val="00D27191"/>
    <w:pPr>
      <w:spacing w:line="240" w:lineRule="auto"/>
      <w:jc w:val="both"/>
    </w:pPr>
    <w:rPr>
      <w:rFonts w:eastAsiaTheme="minorHAnsi" w:cstheme="minorBidi"/>
      <w:szCs w:val="22"/>
      <w:lang w:val="en-GB"/>
    </w:rPr>
  </w:style>
  <w:style w:type="paragraph" w:styleId="Citat">
    <w:name w:val="Quote"/>
    <w:basedOn w:val="Normal"/>
    <w:next w:val="Normal"/>
    <w:link w:val="CitatTegn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27191"/>
    <w:rPr>
      <w:rFonts w:ascii="AU Passata" w:eastAsiaTheme="minorEastAsia" w:hAnsi="AU Passata" w:cstheme="minorBidi"/>
      <w:b/>
      <w:sz w:val="24"/>
      <w:szCs w:val="24"/>
      <w:lang w:val="en-GB"/>
    </w:rPr>
  </w:style>
  <w:style w:type="character" w:styleId="Svagfremhvning">
    <w:name w:val="Subtle Emphasis"/>
    <w:basedOn w:val="Standardskrifttypeiafsnit"/>
    <w:uiPriority w:val="19"/>
    <w:semiHidden/>
    <w:rsid w:val="00D27191"/>
    <w:rPr>
      <w:rFonts w:ascii="Georgia" w:hAnsi="Georgia"/>
      <w:i/>
      <w:iCs/>
      <w:color w:val="404040" w:themeColor="text1" w:themeTint="BF"/>
      <w:lang w:val="en-GB"/>
    </w:rPr>
  </w:style>
  <w:style w:type="character" w:customStyle="1" w:styleId="TitelTegn">
    <w:name w:val="Titel Tegn"/>
    <w:basedOn w:val="Standardskrifttypeiafsnit"/>
    <w:link w:val="Titel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en-GB"/>
    </w:rPr>
  </w:style>
  <w:style w:type="paragraph" w:styleId="Overskrift">
    <w:name w:val="TOC Heading"/>
    <w:basedOn w:val="Overskrift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  <w:style w:type="table" w:styleId="Almindeligtabel4">
    <w:name w:val="Plain Table 4"/>
    <w:basedOn w:val="Tabel-Normal"/>
    <w:uiPriority w:val="44"/>
    <w:rsid w:val="00342923"/>
    <w:pPr>
      <w:spacing w:line="240" w:lineRule="auto"/>
    </w:pPr>
    <w:rPr>
      <w:rFonts w:ascii="Verdana" w:eastAsiaTheme="minorHAnsi" w:hAnsi="Verdana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339092\AppData\Local\Temp\Templafy\WordVsto\upll5w5g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3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766FB9-B645-46AE-A645-02027FC14433}">
  <ds:schemaRefs/>
</ds:datastoreItem>
</file>

<file path=customXml/itemProps3.xml><?xml version="1.0" encoding="utf-8"?>
<ds:datastoreItem xmlns:ds="http://schemas.openxmlformats.org/officeDocument/2006/customXml" ds:itemID="{BC84134D-B8AA-4A35-854B-D76D18C783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upll5w5g</Template>
  <TotalTime>5</TotalTime>
  <Pages>2</Pages>
  <Words>529</Words>
  <Characters>2652</Characters>
  <Application>Microsoft Office Word</Application>
  <DocSecurity>0</DocSecurity>
  <Lines>188</Lines>
  <Paragraphs>156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Jens Skov</dc:creator>
  <cp:lastModifiedBy>Jens Skov</cp:lastModifiedBy>
  <cp:revision>1</cp:revision>
  <dcterms:created xsi:type="dcterms:W3CDTF">2025-11-03T07:22:00Z</dcterms:created>
  <dcterms:modified xsi:type="dcterms:W3CDTF">2025-11-03T07:28:00Z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1277030589858579348</vt:lpwstr>
  </property>
  <property fmtid="{D5CDD505-2E9C-101B-9397-08002B2CF9AE}" pid="8" name="TemplafyUserProfileId">
    <vt:lpwstr>1210677528261562360</vt:lpwstr>
  </property>
  <property fmtid="{D5CDD505-2E9C-101B-9397-08002B2CF9AE}" pid="9" name="TemplafyLanguageCode">
    <vt:lpwstr>en-GB</vt:lpwstr>
  </property>
  <property fmtid="{D5CDD505-2E9C-101B-9397-08002B2CF9AE}" pid="10" name="TemplafyFromBlank">
    <vt:bool>true</vt:bool>
  </property>
  <property fmtid="{D5CDD505-2E9C-101B-9397-08002B2CF9AE}" pid="11" name="GrammarlyDocumentId">
    <vt:lpwstr>dd4f9ff1-37bf-4ee5-8b43-d20a5da3d56b</vt:lpwstr>
  </property>
</Properties>
</file>