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8CD8" w14:textId="03CAE382" w:rsidR="009A00A4" w:rsidRDefault="00F258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Supplementary </w:t>
      </w:r>
      <w:r w:rsidRPr="00F2588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>Figure S1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 </w:t>
      </w:r>
    </w:p>
    <w:p w14:paraId="6CFDABBE" w14:textId="0D67487D" w:rsidR="00F2588C" w:rsidRDefault="00F258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noProof/>
          <w:color w:val="000000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noProof/>
          <w:color w:val="000000"/>
          <w:kern w:val="0"/>
          <w:sz w:val="22"/>
        </w:rPr>
        <w:drawing>
          <wp:inline distT="0" distB="0" distL="0" distR="0" wp14:anchorId="143D8D19" wp14:editId="3459DBDC">
            <wp:extent cx="5417942" cy="37784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12" cy="37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9C2D6" w14:textId="2EDB4AAA" w:rsidR="00F2588C" w:rsidRDefault="009A00A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Flowchart of Study Participant Selection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. </w:t>
      </w:r>
      <w:r w:rsidR="00E66DD3">
        <w:rPr>
          <w:rFonts w:ascii="Times New Roman" w:eastAsia="宋体" w:hAnsi="Times New Roman" w:cs="Times New Roman"/>
          <w:color w:val="000000"/>
          <w:kern w:val="0"/>
          <w:sz w:val="22"/>
        </w:rPr>
        <w:t>A</w:t>
      </w:r>
      <w:r w:rsidR="00AB01A1" w:rsidRPr="00AB01A1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total of 728 patients were initially identified between January 2019 and December 2022. After excluding 109 participants based on the criteria, the final study cohort consisted of 619 patients.</w:t>
      </w:r>
      <w:r w:rsidR="00AB01A1" w:rsidRPr="00AB01A1">
        <w:t xml:space="preserve"> </w:t>
      </w:r>
      <w:r w:rsidR="00AB01A1" w:rsidRPr="00AB01A1">
        <w:rPr>
          <w:rFonts w:ascii="Times New Roman" w:eastAsia="宋体" w:hAnsi="Times New Roman" w:cs="Times New Roman"/>
          <w:color w:val="000000"/>
          <w:kern w:val="0"/>
          <w:sz w:val="22"/>
        </w:rPr>
        <w:t>The primary endpoint (all-cause mortality) occurred in 137 patients (22.1%).</w:t>
      </w:r>
    </w:p>
    <w:p w14:paraId="5D6C2E9C" w14:textId="77777777" w:rsidR="00F2588C" w:rsidRDefault="00F258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br w:type="page"/>
      </w:r>
    </w:p>
    <w:p w14:paraId="6285F1DD" w14:textId="77777777" w:rsidR="0052666A" w:rsidRDefault="0052666A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  <w:sectPr w:rsidR="0052666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EBC6C46" w14:textId="77777777" w:rsidR="0052666A" w:rsidRDefault="000E29B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lastRenderedPageBreak/>
        <w:t>Supplementary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Table S1</w:t>
      </w:r>
    </w:p>
    <w:tbl>
      <w:tblPr>
        <w:tblW w:w="4121" w:type="dxa"/>
        <w:tblLook w:val="04A0" w:firstRow="1" w:lastRow="0" w:firstColumn="1" w:lastColumn="0" w:noHBand="0" w:noVBand="1"/>
      </w:tblPr>
      <w:tblGrid>
        <w:gridCol w:w="2141"/>
        <w:gridCol w:w="1980"/>
      </w:tblGrid>
      <w:tr w:rsidR="0052666A" w14:paraId="0A339F3B" w14:textId="77777777">
        <w:trPr>
          <w:trHeight w:val="310"/>
        </w:trPr>
        <w:tc>
          <w:tcPr>
            <w:tcW w:w="214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86289A5" w14:textId="77777777" w:rsidR="0052666A" w:rsidRDefault="000E29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Variable Name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7476D28" w14:textId="77777777" w:rsidR="0052666A" w:rsidRDefault="000E29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VIF</w:t>
            </w:r>
          </w:p>
        </w:tc>
      </w:tr>
      <w:tr w:rsidR="0052666A" w14:paraId="6FC3D096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4C1C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B86B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1.35666014160835</w:t>
            </w:r>
          </w:p>
        </w:tc>
      </w:tr>
      <w:tr w:rsidR="0052666A" w14:paraId="1DF14C1B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0407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4BF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1.07531443532319</w:t>
            </w:r>
          </w:p>
        </w:tc>
      </w:tr>
      <w:tr w:rsidR="0052666A" w14:paraId="171EFFDC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72D0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689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1.11123803399985</w:t>
            </w:r>
          </w:p>
        </w:tc>
      </w:tr>
      <w:tr w:rsidR="0052666A" w14:paraId="08B32436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6BB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5E2A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1.10976294343003</w:t>
            </w:r>
          </w:p>
        </w:tc>
      </w:tr>
      <w:tr w:rsidR="0052666A" w14:paraId="763DA1DA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F2D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Stroke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4B3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1.14148012904095</w:t>
            </w:r>
          </w:p>
        </w:tc>
      </w:tr>
      <w:tr w:rsidR="0052666A" w14:paraId="098E674A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0CAD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SGLT2i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12A7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1.03831060963222</w:t>
            </w:r>
          </w:p>
        </w:tc>
      </w:tr>
      <w:tr w:rsidR="0052666A" w14:paraId="1C7F676C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347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RBC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5DA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7.55666145402571</w:t>
            </w:r>
          </w:p>
        </w:tc>
      </w:tr>
      <w:tr w:rsidR="0052666A" w14:paraId="00993232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640A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HGB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AA41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8.87487613083270</w:t>
            </w:r>
          </w:p>
        </w:tc>
      </w:tr>
      <w:tr w:rsidR="0052666A" w14:paraId="11767C1F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4C9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AE3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5.34668176578957</w:t>
            </w:r>
          </w:p>
        </w:tc>
      </w:tr>
      <w:tr w:rsidR="0052666A" w14:paraId="516495D1" w14:textId="77777777">
        <w:trPr>
          <w:trHeight w:val="28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6929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10B4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2.85780540885913</w:t>
            </w:r>
          </w:p>
        </w:tc>
      </w:tr>
      <w:tr w:rsidR="0052666A" w14:paraId="0BEF6F76" w14:textId="77777777">
        <w:trPr>
          <w:trHeight w:val="295"/>
        </w:trPr>
        <w:tc>
          <w:tcPr>
            <w:tcW w:w="21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AD4574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F243AC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3.23610504117647</w:t>
            </w:r>
          </w:p>
        </w:tc>
      </w:tr>
    </w:tbl>
    <w:p w14:paraId="30F3F25B" w14:textId="77777777" w:rsidR="0052666A" w:rsidRDefault="000E29B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Note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Variance Inflation Factor (VIF) values of covariates included in the fully adjusted Cox regression model (Model 3). VIF &lt; 10 indicates no significant multicollinearity among variables.</w:t>
      </w:r>
    </w:p>
    <w:p w14:paraId="1ED8D17B" w14:textId="77777777" w:rsidR="0052666A" w:rsidRDefault="0052666A"/>
    <w:p w14:paraId="52109A5D" w14:textId="77777777" w:rsidR="0052666A" w:rsidRDefault="000E29B3">
      <w:pPr>
        <w:widowControl/>
        <w:jc w:val="left"/>
      </w:pPr>
      <w:r>
        <w:br w:type="page"/>
      </w:r>
    </w:p>
    <w:p w14:paraId="15A805D3" w14:textId="77777777" w:rsidR="0052666A" w:rsidRDefault="000E29B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lastRenderedPageBreak/>
        <w:t>Supplementary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Table S2</w:t>
      </w:r>
    </w:p>
    <w:tbl>
      <w:tblPr>
        <w:tblW w:w="9125" w:type="dxa"/>
        <w:tblLook w:val="04A0" w:firstRow="1" w:lastRow="0" w:firstColumn="1" w:lastColumn="0" w:noHBand="0" w:noVBand="1"/>
      </w:tblPr>
      <w:tblGrid>
        <w:gridCol w:w="1770"/>
        <w:gridCol w:w="3055"/>
        <w:gridCol w:w="2150"/>
        <w:gridCol w:w="2150"/>
      </w:tblGrid>
      <w:tr w:rsidR="0052666A" w14:paraId="542BFD12" w14:textId="77777777">
        <w:trPr>
          <w:trHeight w:val="325"/>
        </w:trPr>
        <w:tc>
          <w:tcPr>
            <w:tcW w:w="177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EAAB7A2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735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653B3F9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52666A" w14:paraId="6DB53E93" w14:textId="77777777">
        <w:trPr>
          <w:trHeight w:val="325"/>
        </w:trPr>
        <w:tc>
          <w:tcPr>
            <w:tcW w:w="1770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987C6C" w14:textId="77777777" w:rsidR="0052666A" w:rsidRDefault="0052666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2EA0FC2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86B34C2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3D3C18F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</w:tr>
      <w:tr w:rsidR="0052666A" w14:paraId="33E151BB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E6D02" w14:textId="77777777" w:rsidR="0052666A" w:rsidRDefault="000E29B3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SIRI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DD3C" w14:textId="77777777" w:rsidR="0052666A" w:rsidRDefault="0052666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3C23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CF6C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305A0E8F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3132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4932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CA91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20D9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714A7267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42BE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2EBD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FFF2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6C759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666A" w14:paraId="423C08E3" w14:textId="77777777">
        <w:trPr>
          <w:trHeight w:val="3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C7C9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Q4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594A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3B9B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8D57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</w:t>
            </w:r>
          </w:p>
        </w:tc>
      </w:tr>
      <w:tr w:rsidR="0052666A" w14:paraId="4B1FCBF6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D4D8" w14:textId="77777777" w:rsidR="0052666A" w:rsidRDefault="000E29B3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16EB" w14:textId="77777777" w:rsidR="0052666A" w:rsidRDefault="0052666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14E9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D277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00A16CFF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8711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63D4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8EE3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7043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003284CC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1E05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862D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41EB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987C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666A" w14:paraId="5727A9BC" w14:textId="77777777">
        <w:trPr>
          <w:trHeight w:val="3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3EFB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Q4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F7DA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5829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014C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</w:t>
            </w:r>
          </w:p>
        </w:tc>
      </w:tr>
      <w:tr w:rsidR="0052666A" w14:paraId="07BA8DC2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76525" w14:textId="77777777" w:rsidR="0052666A" w:rsidRDefault="000E29B3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nMLR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F9BB" w14:textId="77777777" w:rsidR="0052666A" w:rsidRDefault="0052666A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6B1A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9B10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7D8B86CE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CEFE5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E24F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BA6D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DD9B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66A" w14:paraId="1BE9FAA1" w14:textId="77777777">
        <w:trPr>
          <w:trHeight w:val="31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84A5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98DE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37EA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FFD9" w14:textId="77777777" w:rsidR="0052666A" w:rsidRDefault="0052666A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666A" w14:paraId="35DBAA13" w14:textId="77777777">
        <w:trPr>
          <w:trHeight w:val="146"/>
        </w:trPr>
        <w:tc>
          <w:tcPr>
            <w:tcW w:w="17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A40C14F" w14:textId="77777777" w:rsidR="0052666A" w:rsidRDefault="000E29B3">
            <w:pPr>
              <w:widowControl/>
              <w:spacing w:line="2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144F733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DCC30F9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D7FAB4E" w14:textId="77777777" w:rsidR="0052666A" w:rsidRDefault="000E29B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</w:t>
            </w:r>
          </w:p>
        </w:tc>
      </w:tr>
    </w:tbl>
    <w:p w14:paraId="7638CF04" w14:textId="77777777" w:rsidR="0052666A" w:rsidRDefault="000E29B3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Note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Hommel-adjusted log-rank test results for pairwise comparisons of Kaplan-Meier survival curves across quartile groups (Q1-Q4) of inflammatory indicators. Significant survival differences (p &lt; 0.05) are denoted between specified quartiles.</w:t>
      </w:r>
    </w:p>
    <w:p w14:paraId="7797AC2D" w14:textId="77777777" w:rsidR="0052666A" w:rsidRDefault="0052666A"/>
    <w:p w14:paraId="10132D53" w14:textId="77777777" w:rsidR="0052666A" w:rsidRDefault="0052666A"/>
    <w:p w14:paraId="06F132FC" w14:textId="77777777" w:rsidR="0052666A" w:rsidRDefault="0052666A"/>
    <w:p w14:paraId="574A8B45" w14:textId="77777777" w:rsidR="0052666A" w:rsidRDefault="0052666A"/>
    <w:p w14:paraId="2C0FFB60" w14:textId="77777777" w:rsidR="0052666A" w:rsidRDefault="0052666A"/>
    <w:p w14:paraId="2723D06C" w14:textId="77777777" w:rsidR="0052666A" w:rsidRDefault="000E29B3">
      <w:pPr>
        <w:widowControl/>
        <w:jc w:val="left"/>
      </w:pPr>
      <w:r>
        <w:br w:type="page"/>
      </w:r>
    </w:p>
    <w:p w14:paraId="0526F004" w14:textId="77777777" w:rsidR="0052666A" w:rsidRDefault="000E29B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lastRenderedPageBreak/>
        <w:t>Supplementary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Table S3</w:t>
      </w:r>
    </w:p>
    <w:tbl>
      <w:tblPr>
        <w:tblW w:w="13200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52666A" w14:paraId="5276C1BA" w14:textId="77777777">
        <w:trPr>
          <w:trHeight w:val="360"/>
        </w:trPr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AAAAE14" w14:textId="77777777" w:rsidR="0052666A" w:rsidRDefault="005266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0E50DFC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AUC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E56326C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CI-Lower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D923B7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CI-Upper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43BEC17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Cut-off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9DCE23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Specificity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9DED968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Sensitivity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5472F91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Accuracy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6F89DC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NPV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C9956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PPV</w:t>
            </w:r>
          </w:p>
        </w:tc>
      </w:tr>
      <w:tr w:rsidR="0052666A" w14:paraId="4A4B112D" w14:textId="77777777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E6E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NLR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AF5D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6A43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6055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8E78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798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BAA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9D78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F2E4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D6B0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0.244</w:t>
            </w:r>
          </w:p>
        </w:tc>
      </w:tr>
      <w:tr w:rsidR="0052666A" w14:paraId="7766F89F" w14:textId="77777777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D34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nMLR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FBCC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930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7BA8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C443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E4DB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66F9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27E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099A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469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0.239</w:t>
            </w:r>
          </w:p>
        </w:tc>
      </w:tr>
      <w:tr w:rsidR="0052666A" w14:paraId="3A473EDF" w14:textId="77777777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445CE4B2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ABE6119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49FCD28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18E3F89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92859F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C10217D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1E17A4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21C9C4F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0.590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EA5441D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532D5F6" w14:textId="77777777" w:rsidR="0052666A" w:rsidRDefault="000E29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0.231</w:t>
            </w:r>
          </w:p>
        </w:tc>
      </w:tr>
    </w:tbl>
    <w:p w14:paraId="69DAFD9E" w14:textId="7445FD26" w:rsidR="0052666A" w:rsidRDefault="000E29B3"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Note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ROC analysis of baseline SIRI, NLR, and nMLR for predicting all-cause mortality. Optimal cut-off values were determined by maximizing Youden's index (J). AUC = area under the curve; NPV = negative predictive value; PPV = positive predictive value.</w:t>
      </w:r>
    </w:p>
    <w:sectPr w:rsidR="005266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9DED" w14:textId="77777777" w:rsidR="00322040" w:rsidRDefault="00322040" w:rsidP="00AB01A1">
      <w:r>
        <w:separator/>
      </w:r>
    </w:p>
  </w:endnote>
  <w:endnote w:type="continuationSeparator" w:id="0">
    <w:p w14:paraId="044C2C22" w14:textId="77777777" w:rsidR="00322040" w:rsidRDefault="00322040" w:rsidP="00AB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8651" w14:textId="77777777" w:rsidR="00322040" w:rsidRDefault="00322040" w:rsidP="00AB01A1">
      <w:r>
        <w:separator/>
      </w:r>
    </w:p>
  </w:footnote>
  <w:footnote w:type="continuationSeparator" w:id="0">
    <w:p w14:paraId="7E74A425" w14:textId="77777777" w:rsidR="00322040" w:rsidRDefault="00322040" w:rsidP="00AB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35"/>
    <w:rsid w:val="000A5C37"/>
    <w:rsid w:val="000E29B3"/>
    <w:rsid w:val="00262666"/>
    <w:rsid w:val="002E2FC0"/>
    <w:rsid w:val="00322040"/>
    <w:rsid w:val="003A2B77"/>
    <w:rsid w:val="0052666A"/>
    <w:rsid w:val="0055017A"/>
    <w:rsid w:val="00606AA7"/>
    <w:rsid w:val="0084235D"/>
    <w:rsid w:val="009A00A4"/>
    <w:rsid w:val="009E2935"/>
    <w:rsid w:val="00A9438B"/>
    <w:rsid w:val="00AB01A1"/>
    <w:rsid w:val="00CB076B"/>
    <w:rsid w:val="00E66DD3"/>
    <w:rsid w:val="00F2588C"/>
    <w:rsid w:val="00F8646C"/>
    <w:rsid w:val="00FF745C"/>
    <w:rsid w:val="1DDF1910"/>
    <w:rsid w:val="5804649E"/>
    <w:rsid w:val="790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44BC7"/>
  <w15:docId w15:val="{E228EEED-BE94-49D7-BF62-B161001F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1724418959@qq.com</dc:creator>
  <cp:lastModifiedBy>1724418959@qq.com</cp:lastModifiedBy>
  <cp:revision>13</cp:revision>
  <dcterms:created xsi:type="dcterms:W3CDTF">2025-08-22T00:59:00Z</dcterms:created>
  <dcterms:modified xsi:type="dcterms:W3CDTF">2025-08-22T03:26:00Z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eyJoZGlkIjoiZDVkZTZjNmYzOThkOGJhYmQ3MTI3YWZiNGJkZTNhNzgiLCJ1c2VySWQiOiIyNDIxMTI0ODYifQ==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9A3835D2431A474EB0EC913CFD69F43A_12</vt:lpwstr>
  </property>
</Properties>
</file>