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2C758">
      <w:pPr>
        <w:adjustRightInd w:val="0"/>
        <w:snapToGrid w:val="0"/>
        <w:rPr>
          <w:rFonts w:hint="eastAsia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Supplementary</w:t>
      </w:r>
    </w:p>
    <w:p w14:paraId="14B9D90A">
      <w:pPr>
        <w:adjustRightInd w:val="0"/>
        <w:snapToGrid w:val="0"/>
        <w:rPr>
          <w:rFonts w:hint="eastAsia" w:ascii="Times New Roman" w:hAnsi="Times New Roman" w:eastAsia="宋体" w:cs="Times New Roman"/>
          <w:b/>
          <w:bCs/>
          <w:sz w:val="24"/>
          <w:szCs w:val="24"/>
        </w:rPr>
      </w:pPr>
    </w:p>
    <w:p w14:paraId="1933E488">
      <w:pPr>
        <w:adjustRightInd w:val="0"/>
        <w:snapToGrid w:val="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Clinicopathological characteristics of patients with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diffuse large B-cell lymphoma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eastAsia" w:ascii="Times New Roman" w:hAnsi="Times New Roman" w:eastAsia="宋体" w:cs="Times New Roman"/>
          <w:sz w:val="24"/>
          <w:szCs w:val="24"/>
        </w:rPr>
        <w:t>DLBCL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</w:rPr>
        <w:t>.</w:t>
      </w:r>
    </w:p>
    <w:tbl>
      <w:tblPr>
        <w:tblStyle w:val="15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4"/>
        <w:gridCol w:w="3120"/>
      </w:tblGrid>
      <w:tr w14:paraId="4621A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3332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974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668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67B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Total (n = 89)</w:t>
            </w:r>
          </w:p>
        </w:tc>
      </w:tr>
      <w:tr w14:paraId="703D61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3332" w:type="pct"/>
            <w:vMerge w:val="continue"/>
            <w:tcBorders>
              <w:bottom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B52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  <w:tc>
          <w:tcPr>
            <w:tcW w:w="1668" w:type="pct"/>
            <w:vMerge w:val="continue"/>
            <w:tcBorders>
              <w:bottom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750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1FC6AA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tcBorders>
              <w:top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B54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Age group,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tcBorders>
              <w:top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3E7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31204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B8E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＜60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73D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61 (68.54)</w:t>
            </w:r>
          </w:p>
        </w:tc>
      </w:tr>
      <w:tr w14:paraId="4D074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C98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≥60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328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28 (31.46)</w:t>
            </w:r>
          </w:p>
        </w:tc>
      </w:tr>
      <w:tr w14:paraId="57F85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A3E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Gender,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4B6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05348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EDE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Female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3D0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40 (44.94)</w:t>
            </w:r>
          </w:p>
        </w:tc>
      </w:tr>
      <w:tr w14:paraId="4B2B19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972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Male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A9C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49 (55.06)</w:t>
            </w:r>
          </w:p>
        </w:tc>
      </w:tr>
      <w:tr w14:paraId="138FF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9E1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Stage,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B15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034BD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71D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I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6CD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6 (6.74)</w:t>
            </w:r>
          </w:p>
        </w:tc>
      </w:tr>
      <w:tr w14:paraId="15976A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827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II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19A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32 (35.96)</w:t>
            </w:r>
          </w:p>
        </w:tc>
      </w:tr>
      <w:tr w14:paraId="5D778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E790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III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050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18 (20.22)</w:t>
            </w:r>
          </w:p>
        </w:tc>
      </w:tr>
      <w:tr w14:paraId="4022C1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18D6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IV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9CB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33 (37.08)</w:t>
            </w:r>
          </w:p>
        </w:tc>
      </w:tr>
      <w:tr w14:paraId="40921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2FB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LDH,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B20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2BBD8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331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elevated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120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37 (41.57)</w:t>
            </w:r>
          </w:p>
        </w:tc>
      </w:tr>
      <w:tr w14:paraId="11487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25C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normal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7F3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52 (58.43)</w:t>
            </w:r>
          </w:p>
        </w:tc>
      </w:tr>
      <w:tr w14:paraId="2A0DF1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9D7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NCCN IPI group,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2C8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37AE5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31B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low-risk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95E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25 (28.09)</w:t>
            </w:r>
          </w:p>
        </w:tc>
      </w:tr>
      <w:tr w14:paraId="72AA8F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342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low-intermediate-risk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755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52 (58.43)</w:t>
            </w:r>
          </w:p>
        </w:tc>
      </w:tr>
      <w:tr w14:paraId="3CF79D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ACE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>intermediate-high-risk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DF9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12 (13.48)</w:t>
            </w:r>
          </w:p>
        </w:tc>
      </w:tr>
      <w:tr w14:paraId="011F8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F03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COO,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C2B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51835B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F1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GCB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2F5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23 (25.84)</w:t>
            </w:r>
          </w:p>
        </w:tc>
      </w:tr>
      <w:tr w14:paraId="129FE4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70D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non-GCB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5C2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66 (74.16)</w:t>
            </w:r>
          </w:p>
        </w:tc>
      </w:tr>
      <w:tr w14:paraId="09272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FF5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Ki-67 grade,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A08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68DA79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D7E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＜70%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B5F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12 (13.48)</w:t>
            </w:r>
          </w:p>
        </w:tc>
      </w:tr>
      <w:tr w14:paraId="0869F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050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≥70%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B9F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77 (86.52)</w:t>
            </w:r>
          </w:p>
        </w:tc>
      </w:tr>
      <w:tr w14:paraId="09512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CAF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B symptom,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0C48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27632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F1C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293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78 (87.64)</w:t>
            </w:r>
          </w:p>
        </w:tc>
      </w:tr>
      <w:tr w14:paraId="78CB0A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3B4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Present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B2A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11 (12.36)</w:t>
            </w:r>
          </w:p>
        </w:tc>
      </w:tr>
      <w:tr w14:paraId="6EA04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D0E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ECOG,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774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42A2F2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FD4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0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395C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9 (10.11)</w:t>
            </w:r>
          </w:p>
        </w:tc>
      </w:tr>
      <w:tr w14:paraId="382D12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BDD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1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C7F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74 (83.15)</w:t>
            </w:r>
          </w:p>
        </w:tc>
      </w:tr>
      <w:tr w14:paraId="49BD6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648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 2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7968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6 (6.74)</w:t>
            </w:r>
          </w:p>
        </w:tc>
      </w:tr>
      <w:tr w14:paraId="5047C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80A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Extranodal sites, n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6817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</w:p>
        </w:tc>
      </w:tr>
      <w:tr w14:paraId="0729E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82D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 w:firstLine="90" w:firstLineChars="5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Absent</w:t>
            </w:r>
          </w:p>
        </w:tc>
        <w:tc>
          <w:tcPr>
            <w:tcW w:w="1668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BB2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75 (84.27)</w:t>
            </w:r>
          </w:p>
        </w:tc>
      </w:tr>
      <w:tr w14:paraId="433DD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32" w:type="pct"/>
            <w:tcBorders>
              <w:bottom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7B3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ind w:left="40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 xml:space="preserve"> Present</w:t>
            </w:r>
          </w:p>
        </w:tc>
        <w:tc>
          <w:tcPr>
            <w:tcW w:w="1668" w:type="pct"/>
            <w:tcBorders>
              <w:bottom w:val="single" w:color="auto" w:sz="4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DE6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40" w:right="40"/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8"/>
                <w:szCs w:val="18"/>
              </w:rPr>
              <w:t>14 (15.73)</w:t>
            </w:r>
          </w:p>
        </w:tc>
      </w:tr>
    </w:tbl>
    <w:p w14:paraId="6BB137F9">
      <w:pPr>
        <w:adjustRightInd w:val="0"/>
        <w:snapToGrid w:val="0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r>
        <w:rPr>
          <w:rFonts w:hint="eastAsia" w:ascii="Times New Roman" w:hAnsi="Times New Roman" w:eastAsia="宋体" w:cs="Times New Roman"/>
          <w:b/>
          <w:bCs/>
          <w:sz w:val="18"/>
          <w:szCs w:val="18"/>
        </w:rPr>
        <w:t>NCCN-IPI</w:t>
      </w:r>
      <w:r>
        <w:rPr>
          <w:rFonts w:hint="eastAsia" w:ascii="Times New Roman" w:hAnsi="Times New Roman" w:eastAsia="宋体" w:cs="Times New Roman"/>
          <w:b/>
          <w:bCs/>
          <w:sz w:val="18"/>
          <w:szCs w:val="18"/>
          <w:lang w:val="en-US" w:eastAsia="zh-CN"/>
        </w:rPr>
        <w:t>: National Comprehensive Cancer Network International Prognostic Index; COO: Cell of Origin; GCB: Germinal Center B-cell Type; ECOG: Eastern Cooperative Oncology Group Performance Status.</w:t>
      </w:r>
    </w:p>
    <w:p w14:paraId="2205935A">
      <w:pPr>
        <w:adjustRightInd w:val="0"/>
        <w:snapToGrid w:val="0"/>
        <w:spacing w:before="156" w:beforeLines="50" w:after="156" w:afterLines="50"/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0" w:name="_Hlk192358842"/>
    </w:p>
    <w:p w14:paraId="71A1509F">
      <w:pPr>
        <w:adjustRightInd w:val="0"/>
        <w:snapToGrid w:val="0"/>
        <w:spacing w:before="156" w:beforeLines="50" w:after="156" w:afterLines="5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Figure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 S1</w:t>
      </w:r>
      <w:bookmarkEnd w:id="0"/>
      <w:r>
        <w:rPr>
          <w:rFonts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ascii="Times New Roman" w:hAnsi="Times New Roman" w:eastAsia="宋体" w:cs="Times New Roman"/>
          <w:sz w:val="24"/>
          <w:szCs w:val="24"/>
        </w:rPr>
        <w:t xml:space="preserve"> Graphical representation of the low and high expression of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tumor-infiltrating T-lymphocytes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Times New Roman" w:hAnsi="Times New Roman" w:eastAsia="宋体" w:cs="Times New Roman"/>
          <w:sz w:val="24"/>
          <w:szCs w:val="24"/>
        </w:rPr>
        <w:t>TIL-T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)</w:t>
      </w:r>
      <w:r>
        <w:rPr>
          <w:rFonts w:ascii="Times New Roman" w:hAnsi="Times New Roman" w:eastAsia="宋体" w:cs="Times New Roman"/>
          <w:sz w:val="24"/>
          <w:szCs w:val="24"/>
        </w:rPr>
        <w:t xml:space="preserve"> and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tumor-associated macrophages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Times New Roman" w:hAnsi="Times New Roman" w:eastAsia="宋体" w:cs="Times New Roman"/>
          <w:sz w:val="24"/>
          <w:szCs w:val="24"/>
        </w:rPr>
        <w:t>TAMs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)</w:t>
      </w:r>
      <w:r>
        <w:rPr>
          <w:rFonts w:ascii="Times New Roman" w:hAnsi="Times New Roman" w:eastAsia="宋体" w:cs="Times New Roman"/>
          <w:sz w:val="24"/>
          <w:szCs w:val="24"/>
        </w:rPr>
        <w:t xml:space="preserve"> in Diffuse large B-cell lymphoma</w:t>
      </w:r>
      <w:r>
        <w:rPr>
          <w:rFonts w:hint="eastAsia" w:ascii="Times New Roman" w:hAnsi="Times New Roman" w:eastAsia="宋体" w:cs="Times New Roman"/>
          <w:sz w:val="24"/>
          <w:szCs w:val="24"/>
        </w:rPr>
        <w:t>.</w:t>
      </w:r>
    </w:p>
    <w:tbl>
      <w:tblPr>
        <w:tblStyle w:val="1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072EC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  <w:shd w:val="clear" w:color="auto" w:fill="auto"/>
          </w:tcPr>
          <w:p w14:paraId="233018A9">
            <w:pPr>
              <w:rPr>
                <w:rFonts w:ascii="Times New Roman" w:hAnsi="Times New Roman" w:eastAsia="宋体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30"/>
                <w:szCs w:val="30"/>
              </w:rPr>
              <w:drawing>
                <wp:inline distT="0" distB="0" distL="0" distR="0">
                  <wp:extent cx="3552190" cy="3985260"/>
                  <wp:effectExtent l="0" t="0" r="0" b="0"/>
                  <wp:docPr id="16451074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1074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069" t="37930" r="44545" b="3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579" cy="3996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60C76">
      <w:pPr>
        <w:adjustRightInd w:val="0"/>
        <w:snapToGrid w:val="0"/>
        <w:spacing w:before="156" w:beforeLines="50" w:after="156" w:afterLines="50"/>
        <w:rPr>
          <w:rFonts w:ascii="Times New Roman" w:hAnsi="Times New Roman" w:eastAsia="宋体" w:cs="Times New Roman"/>
          <w:sz w:val="24"/>
          <w:szCs w:val="24"/>
        </w:rPr>
      </w:pPr>
    </w:p>
    <w:p w14:paraId="549EDA5F">
      <w:pPr>
        <w:adjustRightInd w:val="0"/>
        <w:snapToGrid w:val="0"/>
        <w:spacing w:before="156" w:beforeLines="50" w:after="156" w:afterLines="5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S2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Neoplastic and microenvironmental PD-L1 expression in diffuse large B-cell lymphoma: Tumor cells (nPD-L1) and microenvironmental cel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 w:val="24"/>
          <w:szCs w:val="24"/>
        </w:rPr>
        <w:t>ls (mPD-L1).</w:t>
      </w:r>
    </w:p>
    <w:tbl>
      <w:tblPr>
        <w:tblStyle w:val="1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4"/>
      </w:tblGrid>
      <w:tr w14:paraId="354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  <w:shd w:val="clear" w:color="auto" w:fill="auto"/>
          </w:tcPr>
          <w:p w14:paraId="37FB0D8B">
            <w:pPr>
              <w:rPr>
                <w:rFonts w:ascii="Times New Roman" w:hAnsi="Times New Roman" w:eastAsia="宋体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30"/>
                <w:szCs w:val="30"/>
              </w:rPr>
              <w:drawing>
                <wp:inline distT="0" distB="0" distL="0" distR="0">
                  <wp:extent cx="5853430" cy="2484755"/>
                  <wp:effectExtent l="0" t="0" r="0" b="0"/>
                  <wp:docPr id="19254961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961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423" t="24747" r="11859" b="28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497" cy="248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322DD">
      <w:pPr>
        <w:adjustRightInd w:val="0"/>
        <w:snapToGrid w:val="0"/>
        <w:rPr>
          <w:rFonts w:ascii="Times New Roman" w:hAnsi="Times New Roman" w:eastAsia="宋体" w:cs="Times New Roman"/>
          <w:sz w:val="24"/>
          <w:szCs w:val="24"/>
        </w:rPr>
      </w:pPr>
    </w:p>
    <w:p w14:paraId="536992A7">
      <w:pPr>
        <w:rPr>
          <w:rFonts w:hint="eastAsia"/>
        </w:rPr>
      </w:pP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E9"/>
    <w:rsid w:val="000E5446"/>
    <w:rsid w:val="00122251"/>
    <w:rsid w:val="001F12DB"/>
    <w:rsid w:val="002B72E9"/>
    <w:rsid w:val="003615F9"/>
    <w:rsid w:val="00361874"/>
    <w:rsid w:val="003F7A65"/>
    <w:rsid w:val="00667741"/>
    <w:rsid w:val="00877EE8"/>
    <w:rsid w:val="00B20D6B"/>
    <w:rsid w:val="00B96DF6"/>
    <w:rsid w:val="00C601D9"/>
    <w:rsid w:val="00D0308A"/>
    <w:rsid w:val="04210D7E"/>
    <w:rsid w:val="38F7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194</Words>
  <Characters>1052</Characters>
  <Lines>7</Lines>
  <Paragraphs>2</Paragraphs>
  <TotalTime>6</TotalTime>
  <ScaleCrop>false</ScaleCrop>
  <LinksUpToDate>false</LinksUpToDate>
  <CharactersWithSpaces>1220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2025-03-08T12:36:00Z</dcterms:created>
  <dc:creator>云丽 谢</dc:creator>
  <cp:lastModifiedBy>谢云丽</cp:lastModifiedBy>
  <dcterms:modified xsi:type="dcterms:W3CDTF">2025-08-14T12:22:52Z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eyJoZGlkIjoiOGY3YWM4NWE3MzdmYmYxMGIzNzMxM2Q4NGM1ZTk2NTQiLCJ1c2VySWQiOiI2MDU2MzkyMjMifQ==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BF045E634CE04F0F825F04822636A00C_12</vt:lpwstr>
  </property>
</Properties>
</file>