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A076" w14:textId="77777777" w:rsidR="004565C4" w:rsidRPr="001B6528" w:rsidRDefault="004565C4" w:rsidP="001E74C5">
      <w:pPr>
        <w:spacing w:before="100" w:beforeAutospacing="1" w:after="100" w:afterAutospacing="1"/>
        <w:jc w:val="both"/>
        <w:rPr>
          <w:rFonts w:asciiTheme="minorBidi" w:hAnsiTheme="minorBidi"/>
          <w:b/>
          <w:bCs/>
          <w:sz w:val="20"/>
          <w:szCs w:val="20"/>
        </w:rPr>
      </w:pPr>
      <w:r w:rsidRPr="001B6528">
        <w:rPr>
          <w:rFonts w:asciiTheme="minorBidi" w:hAnsiTheme="minorBidi"/>
          <w:b/>
          <w:bCs/>
          <w:sz w:val="20"/>
          <w:szCs w:val="20"/>
        </w:rPr>
        <w:t>Supplementary Information</w:t>
      </w:r>
    </w:p>
    <w:p w14:paraId="455B1B00" w14:textId="1B2A3D74" w:rsidR="00625B5F" w:rsidRPr="001B6528" w:rsidRDefault="001E74C5" w:rsidP="007C02C8">
      <w:pPr>
        <w:spacing w:after="0" w:line="480" w:lineRule="auto"/>
        <w:ind w:firstLine="720"/>
        <w:jc w:val="both"/>
        <w:rPr>
          <w:rFonts w:asciiTheme="minorBidi" w:hAnsiTheme="minorBidi"/>
          <w:sz w:val="20"/>
          <w:szCs w:val="20"/>
        </w:rPr>
      </w:pPr>
      <w:r w:rsidRPr="001B6528">
        <w:rPr>
          <w:rFonts w:asciiTheme="minorBidi" w:hAnsiTheme="minorBidi"/>
          <w:sz w:val="20"/>
          <w:szCs w:val="20"/>
        </w:rPr>
        <w:t>To determine</w:t>
      </w:r>
      <w:r w:rsidR="00625B5F" w:rsidRPr="001B6528">
        <w:rPr>
          <w:rFonts w:asciiTheme="minorBidi" w:hAnsiTheme="minorBidi"/>
          <w:sz w:val="20"/>
          <w:szCs w:val="20"/>
        </w:rPr>
        <w:t xml:space="preserve"> a suitable concentration range for E-CND</w:t>
      </w:r>
      <w:r w:rsidR="008C1F43">
        <w:rPr>
          <w:rFonts w:asciiTheme="minorBidi" w:hAnsiTheme="minorBidi"/>
          <w:sz w:val="20"/>
          <w:szCs w:val="20"/>
        </w:rPr>
        <w:t>s</w:t>
      </w:r>
      <w:r w:rsidR="00625B5F" w:rsidRPr="001B6528">
        <w:rPr>
          <w:rFonts w:asciiTheme="minorBidi" w:hAnsiTheme="minorBidi"/>
          <w:sz w:val="20"/>
          <w:szCs w:val="20"/>
        </w:rPr>
        <w:t xml:space="preserve"> treatment, MDA-MB-231 cells were incubated overnight with 0.1, 0.5, 0.8, 1.6, and 3.2 mg/mL E-CNDs after stepwise serum reduction (5%, 2%, and 1% FBS, each for 2 hours).</w:t>
      </w:r>
    </w:p>
    <w:p w14:paraId="35879AA1" w14:textId="3FA86431" w:rsidR="00625B5F" w:rsidRPr="001B6528" w:rsidRDefault="00625B5F" w:rsidP="007C02C8">
      <w:pPr>
        <w:spacing w:after="0" w:line="480" w:lineRule="auto"/>
        <w:ind w:firstLine="720"/>
        <w:jc w:val="both"/>
        <w:rPr>
          <w:rFonts w:asciiTheme="minorBidi" w:hAnsiTheme="minorBidi"/>
          <w:sz w:val="20"/>
          <w:szCs w:val="20"/>
        </w:rPr>
      </w:pPr>
      <w:r w:rsidRPr="001B6528">
        <w:rPr>
          <w:rFonts w:asciiTheme="minorBidi" w:hAnsiTheme="minorBidi"/>
          <w:sz w:val="20"/>
          <w:szCs w:val="20"/>
        </w:rPr>
        <w:t>At 1.6 and 3.2 mg/mL, more cells were found floating in the media, while no detachment was seen at lower concentrations (</w:t>
      </w:r>
      <w:r w:rsidR="00234548" w:rsidRPr="00EC75CE">
        <w:rPr>
          <w:rFonts w:asciiTheme="minorBidi" w:hAnsiTheme="minorBidi"/>
          <w:sz w:val="20"/>
          <w:szCs w:val="20"/>
        </w:rPr>
        <w:t xml:space="preserve">Figure </w:t>
      </w:r>
      <w:r w:rsidR="00095ABF">
        <w:rPr>
          <w:rFonts w:asciiTheme="minorBidi" w:hAnsiTheme="minorBidi"/>
          <w:sz w:val="20"/>
          <w:szCs w:val="20"/>
        </w:rPr>
        <w:t>S</w:t>
      </w:r>
      <w:r w:rsidR="00234548" w:rsidRPr="00EC75CE">
        <w:rPr>
          <w:rFonts w:asciiTheme="minorBidi" w:hAnsiTheme="minorBidi"/>
          <w:sz w:val="20"/>
          <w:szCs w:val="20"/>
        </w:rPr>
        <w:t>1</w:t>
      </w:r>
      <w:r w:rsidRPr="00234548">
        <w:rPr>
          <w:rFonts w:asciiTheme="minorBidi" w:hAnsiTheme="minorBidi"/>
          <w:sz w:val="20"/>
          <w:szCs w:val="20"/>
        </w:rPr>
        <w:t>A</w:t>
      </w:r>
      <w:r w:rsidRPr="001B6528">
        <w:rPr>
          <w:rFonts w:asciiTheme="minorBidi" w:hAnsiTheme="minorBidi"/>
          <w:sz w:val="20"/>
          <w:szCs w:val="20"/>
        </w:rPr>
        <w:t>). This suggested that higher doses might affect how well cells stay attached.</w:t>
      </w:r>
    </w:p>
    <w:p w14:paraId="0632438A" w14:textId="2B0CE333" w:rsidR="00625B5F" w:rsidRPr="001B6528" w:rsidRDefault="00625B5F" w:rsidP="007C02C8">
      <w:pPr>
        <w:spacing w:after="0" w:line="480" w:lineRule="auto"/>
        <w:ind w:firstLine="720"/>
        <w:jc w:val="both"/>
        <w:rPr>
          <w:rFonts w:asciiTheme="minorBidi" w:hAnsiTheme="minorBidi"/>
          <w:sz w:val="20"/>
          <w:szCs w:val="20"/>
        </w:rPr>
      </w:pPr>
      <w:r w:rsidRPr="001B6528">
        <w:rPr>
          <w:rFonts w:asciiTheme="minorBidi" w:hAnsiTheme="minorBidi"/>
          <w:sz w:val="20"/>
          <w:szCs w:val="20"/>
        </w:rPr>
        <w:t>Trypan blue staining showed that over 65% of those floating cells at the higher concentrations were non-viable (</w:t>
      </w:r>
      <w:r w:rsidR="00234548" w:rsidRPr="00EC75CE">
        <w:rPr>
          <w:rFonts w:asciiTheme="minorBidi" w:hAnsiTheme="minorBidi"/>
          <w:sz w:val="20"/>
          <w:szCs w:val="20"/>
        </w:rPr>
        <w:t xml:space="preserve">Figure </w:t>
      </w:r>
      <w:r w:rsidR="00586AB5">
        <w:rPr>
          <w:rFonts w:asciiTheme="minorBidi" w:hAnsiTheme="minorBidi"/>
          <w:sz w:val="20"/>
          <w:szCs w:val="20"/>
        </w:rPr>
        <w:t>S</w:t>
      </w:r>
      <w:r w:rsidR="00234548" w:rsidRPr="00EC75CE">
        <w:rPr>
          <w:rFonts w:asciiTheme="minorBidi" w:hAnsiTheme="minorBidi"/>
          <w:sz w:val="20"/>
          <w:szCs w:val="20"/>
        </w:rPr>
        <w:t>1</w:t>
      </w:r>
      <w:r w:rsidRPr="001B6528">
        <w:rPr>
          <w:rFonts w:asciiTheme="minorBidi" w:hAnsiTheme="minorBidi"/>
          <w:sz w:val="20"/>
          <w:szCs w:val="20"/>
        </w:rPr>
        <w:t>B). Because of this, 1.6 and 3.2 mg/mL were not used in the later experiments to avoid possible issues from cell loss or stress.</w:t>
      </w:r>
    </w:p>
    <w:p w14:paraId="460B1117" w14:textId="77777777" w:rsidR="00E33119" w:rsidRPr="001B6528" w:rsidRDefault="00E33119" w:rsidP="00C5563E">
      <w:pPr>
        <w:spacing w:after="0" w:line="480" w:lineRule="auto"/>
        <w:ind w:firstLine="720"/>
        <w:jc w:val="both"/>
        <w:rPr>
          <w:rFonts w:asciiTheme="minorBidi" w:hAnsiTheme="minorBidi"/>
          <w:sz w:val="20"/>
          <w:szCs w:val="20"/>
        </w:rPr>
      </w:pPr>
    </w:p>
    <w:p w14:paraId="1B46DD36" w14:textId="48BCA47B" w:rsidR="00587DB9" w:rsidRPr="001B6528" w:rsidRDefault="001A7BDD" w:rsidP="00C5563E">
      <w:pPr>
        <w:spacing w:after="0" w:line="480" w:lineRule="auto"/>
        <w:ind w:firstLine="720"/>
        <w:jc w:val="both"/>
        <w:rPr>
          <w:rFonts w:asciiTheme="minorBidi" w:hAnsiTheme="minorBidi"/>
          <w:b/>
          <w:bCs/>
          <w:sz w:val="20"/>
          <w:szCs w:val="20"/>
        </w:rPr>
      </w:pPr>
      <w:r w:rsidRPr="001B6528">
        <w:rPr>
          <w:rFonts w:asciiTheme="minorBidi" w:hAnsiTheme="minorBid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7FEEC90" wp14:editId="039B5CAE">
            <wp:simplePos x="0" y="0"/>
            <wp:positionH relativeFrom="column">
              <wp:posOffset>68239</wp:posOffset>
            </wp:positionH>
            <wp:positionV relativeFrom="paragraph">
              <wp:posOffset>170</wp:posOffset>
            </wp:positionV>
            <wp:extent cx="5766179" cy="2441575"/>
            <wp:effectExtent l="0" t="0" r="6350" b="0"/>
            <wp:wrapSquare wrapText="bothSides"/>
            <wp:docPr id="293624959" name="Picture 3" descr="A comparison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24959" name="Picture 3" descr="A comparison of a graph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85"/>
                    <a:stretch/>
                  </pic:blipFill>
                  <pic:spPr bwMode="auto">
                    <a:xfrm>
                      <a:off x="0" y="0"/>
                      <a:ext cx="5766179" cy="244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70379D9" w14:textId="6DD839B1" w:rsidR="00CF107B" w:rsidRPr="001B6528" w:rsidRDefault="00CF107B" w:rsidP="00EA5069">
      <w:pPr>
        <w:spacing w:after="0" w:line="480" w:lineRule="auto"/>
        <w:jc w:val="both"/>
        <w:rPr>
          <w:rFonts w:asciiTheme="minorBidi" w:hAnsiTheme="minorBidi"/>
          <w:b/>
          <w:bCs/>
          <w:sz w:val="20"/>
          <w:szCs w:val="20"/>
        </w:rPr>
      </w:pPr>
      <w:r w:rsidRPr="00EC75CE">
        <w:rPr>
          <w:rFonts w:asciiTheme="minorBidi" w:eastAsia="Times New Roman" w:hAnsiTheme="minorBidi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Figure </w:t>
      </w:r>
      <w:r w:rsidR="004E79DB">
        <w:rPr>
          <w:rFonts w:asciiTheme="minorBidi" w:eastAsia="Times New Roman" w:hAnsiTheme="minorBidi"/>
          <w:b/>
          <w:bCs/>
          <w:color w:val="000000" w:themeColor="text1"/>
          <w:kern w:val="0"/>
          <w:sz w:val="20"/>
          <w:szCs w:val="20"/>
          <w14:ligatures w14:val="none"/>
        </w:rPr>
        <w:t>S</w:t>
      </w:r>
      <w:r w:rsidRPr="00EC75CE">
        <w:rPr>
          <w:rFonts w:asciiTheme="minorBidi" w:eastAsia="Times New Roman" w:hAnsiTheme="minorBidi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1. </w:t>
      </w:r>
      <w:r w:rsidRPr="001B6528">
        <w:rPr>
          <w:rFonts w:asciiTheme="minorBidi" w:eastAsiaTheme="majorEastAsia" w:hAnsiTheme="minorBidi"/>
          <w:color w:val="000000" w:themeColor="text1"/>
          <w:sz w:val="20"/>
          <w:szCs w:val="20"/>
        </w:rPr>
        <w:t>Higher E-CND</w:t>
      </w:r>
      <w:r w:rsidR="008C1F43">
        <w:rPr>
          <w:rFonts w:asciiTheme="minorBidi" w:eastAsiaTheme="majorEastAsia" w:hAnsiTheme="minorBidi"/>
          <w:color w:val="000000" w:themeColor="text1"/>
          <w:sz w:val="20"/>
          <w:szCs w:val="20"/>
        </w:rPr>
        <w:t>s</w:t>
      </w:r>
      <w:r w:rsidRPr="001B6528">
        <w:rPr>
          <w:rFonts w:asciiTheme="minorBidi" w:eastAsiaTheme="majorEastAsia" w:hAnsiTheme="minorBidi"/>
          <w:color w:val="000000" w:themeColor="text1"/>
          <w:sz w:val="20"/>
          <w:szCs w:val="20"/>
        </w:rPr>
        <w:t xml:space="preserve"> concentrations caused significant cell detachment and death.</w:t>
      </w:r>
      <w:r w:rsidRPr="001B6528">
        <w:rPr>
          <w:rFonts w:asciiTheme="minorBidi" w:eastAsiaTheme="majorEastAsia" w:hAnsiTheme="minorBidi"/>
          <w:color w:val="000000" w:themeColor="text1"/>
          <w:sz w:val="20"/>
          <w:szCs w:val="20"/>
        </w:rPr>
        <w:br/>
        <w:t xml:space="preserve">(A) </w:t>
      </w:r>
      <w:r w:rsidR="00B27FDB" w:rsidRPr="001B6528">
        <w:rPr>
          <w:rFonts w:asciiTheme="minorBidi" w:eastAsiaTheme="majorEastAsia" w:hAnsiTheme="minorBidi"/>
          <w:color w:val="000000" w:themeColor="text1"/>
          <w:sz w:val="20"/>
          <w:szCs w:val="20"/>
        </w:rPr>
        <w:t>Floating cell counts per mL increased significantly at 1.6 and 3.2 mg/mL (p = 0.0177 and p = 0.0236, respectively)</w:t>
      </w:r>
      <w:r w:rsidR="00EE0FC8" w:rsidRPr="001B6528">
        <w:rPr>
          <w:rFonts w:asciiTheme="minorBidi" w:eastAsiaTheme="majorEastAsia" w:hAnsiTheme="minorBidi"/>
          <w:color w:val="000000" w:themeColor="text1"/>
          <w:sz w:val="20"/>
          <w:szCs w:val="20"/>
        </w:rPr>
        <w:t xml:space="preserve">, while no detached cells were observed at lower concentrations. </w:t>
      </w:r>
      <w:r w:rsidRPr="001B6528">
        <w:rPr>
          <w:rFonts w:asciiTheme="minorBidi" w:eastAsiaTheme="majorEastAsia" w:hAnsiTheme="minorBidi"/>
          <w:color w:val="000000" w:themeColor="text1"/>
          <w:sz w:val="20"/>
          <w:szCs w:val="20"/>
        </w:rPr>
        <w:t xml:space="preserve">(B) </w:t>
      </w:r>
      <w:r w:rsidR="00A97D14" w:rsidRPr="001B6528">
        <w:rPr>
          <w:rFonts w:asciiTheme="minorBidi" w:eastAsiaTheme="majorEastAsia" w:hAnsiTheme="minorBidi"/>
          <w:color w:val="000000" w:themeColor="text1"/>
          <w:sz w:val="20"/>
          <w:szCs w:val="20"/>
        </w:rPr>
        <w:t>The percentage of dead cells among floating populations is shown for all groups. Values at 0, 0.1, 0.5, and 0.8 mg/mL are reported as zero, as no floating cells were observed in these groups (A). At 1.6 and 3.2 mg/mL, dead cell percentages were calculated based on the detached cell population. Data are presented as mean ± SD from at least three independent experiments. Asterisks indicate statistical significance (*p &lt; 0.05, ***p &lt; 0.001).</w:t>
      </w:r>
    </w:p>
    <w:p w14:paraId="29010721" w14:textId="59B5FC97" w:rsidR="00E63D12" w:rsidRPr="001B6528" w:rsidRDefault="00E63D12" w:rsidP="00EA5069">
      <w:pPr>
        <w:jc w:val="both"/>
        <w:rPr>
          <w:rFonts w:asciiTheme="minorBidi" w:hAnsiTheme="minorBidi"/>
          <w:noProof/>
          <w:sz w:val="20"/>
          <w:szCs w:val="20"/>
        </w:rPr>
      </w:pPr>
    </w:p>
    <w:p w14:paraId="2A44DC57" w14:textId="19FBD99E" w:rsidR="007329C3" w:rsidRPr="001B6528" w:rsidRDefault="007329C3" w:rsidP="00EA5069">
      <w:pPr>
        <w:spacing w:after="0" w:line="480" w:lineRule="auto"/>
        <w:ind w:firstLine="720"/>
        <w:jc w:val="both"/>
        <w:rPr>
          <w:rFonts w:asciiTheme="minorBidi" w:eastAsiaTheme="majorEastAsia" w:hAnsiTheme="minorBidi"/>
          <w:color w:val="000000" w:themeColor="text1"/>
          <w:sz w:val="20"/>
          <w:szCs w:val="20"/>
        </w:rPr>
      </w:pPr>
      <w:r w:rsidRPr="001B6528">
        <w:rPr>
          <w:rFonts w:asciiTheme="minorBidi" w:eastAsiaTheme="majorEastAsia" w:hAnsiTheme="minorBidi"/>
          <w:color w:val="000000" w:themeColor="text1"/>
          <w:sz w:val="20"/>
          <w:szCs w:val="20"/>
        </w:rPr>
        <w:t>To further support the qualitative imaging observations, additional colocalization metrics were evaluated using Fiji (ImageJ). Pearson’s correlation coefficients were calculated following Otsu thresholding to assess the linear intensity relationship between E-CND</w:t>
      </w:r>
      <w:r w:rsidR="008C1F43">
        <w:rPr>
          <w:rFonts w:asciiTheme="minorBidi" w:eastAsiaTheme="majorEastAsia" w:hAnsiTheme="minorBidi"/>
          <w:color w:val="000000" w:themeColor="text1"/>
          <w:sz w:val="20"/>
          <w:szCs w:val="20"/>
        </w:rPr>
        <w:t>s</w:t>
      </w:r>
      <w:r w:rsidRPr="001B6528">
        <w:rPr>
          <w:rFonts w:asciiTheme="minorBidi" w:eastAsiaTheme="majorEastAsia" w:hAnsiTheme="minorBidi"/>
          <w:color w:val="000000" w:themeColor="text1"/>
          <w:sz w:val="20"/>
          <w:szCs w:val="20"/>
        </w:rPr>
        <w:t xml:space="preserve"> (cyan) and mitochondrial (red) signals. The mean Pearson’s coefficient was 0.26 ± 0.10, indicating a weak to moderate intensity correlation across analyzed cells. In addition, the spatial extent of overlap was quantified by measuring the physical area where the two fluorophores co-occurred. The average overlapping area was 18.03 ± 7.96 µm², reflecting localized physical association between E-CNDs and mitochondria. These data complement the Mander’s coefficient analysis, supporting a pattern of partial colocalization rather than full mitochondrial targeting.</w:t>
      </w:r>
    </w:p>
    <w:p w14:paraId="47CD2FF6" w14:textId="6048B178" w:rsidR="00B10A9C" w:rsidRPr="001B6528" w:rsidRDefault="00234548" w:rsidP="00D24CF5">
      <w:pPr>
        <w:spacing w:after="0" w:line="480" w:lineRule="auto"/>
        <w:ind w:firstLine="720"/>
        <w:jc w:val="both"/>
        <w:rPr>
          <w:rFonts w:asciiTheme="minorBidi" w:hAnsiTheme="minorBidi"/>
          <w:sz w:val="20"/>
          <w:szCs w:val="20"/>
        </w:rPr>
      </w:pPr>
      <w:r w:rsidRPr="00EC75CE">
        <w:rPr>
          <w:rFonts w:asciiTheme="minorBidi" w:eastAsiaTheme="majorEastAsia" w:hAnsiTheme="minorBidi"/>
          <w:color w:val="000000" w:themeColor="text1"/>
          <w:sz w:val="20"/>
          <w:szCs w:val="20"/>
        </w:rPr>
        <w:t xml:space="preserve">Figure </w:t>
      </w:r>
      <w:r w:rsidR="004E79DB">
        <w:rPr>
          <w:rFonts w:asciiTheme="minorBidi" w:eastAsiaTheme="majorEastAsia" w:hAnsiTheme="minorBidi"/>
          <w:color w:val="000000" w:themeColor="text1"/>
          <w:sz w:val="20"/>
          <w:szCs w:val="20"/>
        </w:rPr>
        <w:t>S</w:t>
      </w:r>
      <w:r w:rsidRPr="00EC75CE">
        <w:rPr>
          <w:rFonts w:asciiTheme="minorBidi" w:eastAsiaTheme="majorEastAsia" w:hAnsiTheme="minorBidi"/>
          <w:color w:val="000000" w:themeColor="text1"/>
          <w:sz w:val="20"/>
          <w:szCs w:val="20"/>
        </w:rPr>
        <w:t xml:space="preserve">2 </w:t>
      </w:r>
      <w:r w:rsidR="007329C3" w:rsidRPr="001B6528">
        <w:rPr>
          <w:rFonts w:asciiTheme="minorBidi" w:eastAsiaTheme="majorEastAsia" w:hAnsiTheme="minorBidi"/>
          <w:color w:val="000000" w:themeColor="text1"/>
          <w:sz w:val="20"/>
          <w:szCs w:val="20"/>
        </w:rPr>
        <w:t>presents a larger field of view from the confocal image shown in the main text, capturing additional MDA-MB-231 cells stained with MitoTracker™ Red.</w:t>
      </w:r>
      <w:r w:rsidR="00E879DA" w:rsidRPr="001B6528">
        <w:rPr>
          <w:rFonts w:asciiTheme="minorBidi" w:eastAsiaTheme="majorEastAsia" w:hAnsiTheme="minorBidi"/>
          <w:color w:val="000000" w:themeColor="text1"/>
          <w:sz w:val="20"/>
          <w:szCs w:val="20"/>
        </w:rPr>
        <w:t xml:space="preserve"> These images further support the consistent distribution pattern of E-CNDs across the same imaging set.</w:t>
      </w:r>
    </w:p>
    <w:p w14:paraId="3019CD19" w14:textId="77777777" w:rsidR="002E1414" w:rsidRPr="001B6528" w:rsidRDefault="002E1414">
      <w:pPr>
        <w:rPr>
          <w:rFonts w:asciiTheme="minorBidi" w:hAnsiTheme="minorBidi"/>
          <w:sz w:val="20"/>
          <w:szCs w:val="20"/>
        </w:rPr>
      </w:pPr>
    </w:p>
    <w:p w14:paraId="29290A81" w14:textId="520ED134" w:rsidR="002E1414" w:rsidRPr="001B6528" w:rsidRDefault="00A713AA">
      <w:pPr>
        <w:rPr>
          <w:rFonts w:asciiTheme="minorBidi" w:hAnsiTheme="minorBidi"/>
          <w:sz w:val="20"/>
          <w:szCs w:val="20"/>
        </w:rPr>
      </w:pPr>
      <w:r w:rsidRPr="001B6528">
        <w:rPr>
          <w:rFonts w:asciiTheme="minorBidi" w:hAnsiTheme="minorBidi"/>
          <w:noProof/>
          <w:sz w:val="20"/>
          <w:szCs w:val="20"/>
        </w:rPr>
        <w:drawing>
          <wp:inline distT="0" distB="0" distL="0" distR="0" wp14:anchorId="1D7CA943" wp14:editId="47DFA955">
            <wp:extent cx="5702808" cy="1310640"/>
            <wp:effectExtent l="0" t="0" r="0" b="3810"/>
            <wp:docPr id="479841770" name="Picture 1" descr="A collage of images of red and white parti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41770" name="Picture 1" descr="A collage of images of red and white particl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808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A101D" w14:textId="7488B0E9" w:rsidR="009E4D65" w:rsidRPr="001B6528" w:rsidRDefault="009E4D65">
      <w:pPr>
        <w:rPr>
          <w:rFonts w:asciiTheme="minorBidi" w:eastAsiaTheme="majorEastAsia" w:hAnsiTheme="minorBidi"/>
          <w:color w:val="000000" w:themeColor="text1"/>
          <w:sz w:val="20"/>
          <w:szCs w:val="20"/>
        </w:rPr>
      </w:pPr>
    </w:p>
    <w:p w14:paraId="183C1689" w14:textId="6CD4505E" w:rsidR="0067745B" w:rsidRPr="001B6528" w:rsidRDefault="00B96469" w:rsidP="00A27BBE">
      <w:pPr>
        <w:spacing w:after="0" w:line="480" w:lineRule="auto"/>
        <w:jc w:val="both"/>
        <w:rPr>
          <w:rFonts w:asciiTheme="minorBidi" w:eastAsiaTheme="majorEastAsia" w:hAnsiTheme="minorBidi"/>
          <w:color w:val="000000" w:themeColor="text1"/>
          <w:sz w:val="20"/>
          <w:szCs w:val="20"/>
        </w:rPr>
      </w:pPr>
      <w:r w:rsidRPr="00EC75CE">
        <w:rPr>
          <w:rFonts w:asciiTheme="minorBidi" w:eastAsia="Times New Roman" w:hAnsiTheme="minorBidi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Figure </w:t>
      </w:r>
      <w:r w:rsidR="004E79DB">
        <w:rPr>
          <w:rFonts w:asciiTheme="minorBidi" w:eastAsia="Times New Roman" w:hAnsiTheme="minorBidi"/>
          <w:b/>
          <w:bCs/>
          <w:color w:val="000000" w:themeColor="text1"/>
          <w:kern w:val="0"/>
          <w:sz w:val="20"/>
          <w:szCs w:val="20"/>
          <w14:ligatures w14:val="none"/>
        </w:rPr>
        <w:t>S</w:t>
      </w:r>
      <w:r w:rsidRPr="00EC75CE">
        <w:rPr>
          <w:rFonts w:asciiTheme="minorBidi" w:eastAsia="Times New Roman" w:hAnsiTheme="minorBidi"/>
          <w:b/>
          <w:bCs/>
          <w:color w:val="000000" w:themeColor="text1"/>
          <w:kern w:val="0"/>
          <w:sz w:val="20"/>
          <w:szCs w:val="20"/>
          <w14:ligatures w14:val="none"/>
        </w:rPr>
        <w:t>2</w:t>
      </w:r>
      <w:r w:rsidR="009E4D65" w:rsidRPr="00EC75CE">
        <w:rPr>
          <w:rFonts w:asciiTheme="minorBidi" w:eastAsiaTheme="majorEastAsia" w:hAnsiTheme="minorBidi"/>
          <w:b/>
          <w:bCs/>
          <w:color w:val="000000" w:themeColor="text1"/>
          <w:sz w:val="20"/>
          <w:szCs w:val="20"/>
        </w:rPr>
        <w:t xml:space="preserve">. </w:t>
      </w:r>
      <w:r w:rsidR="0067745B" w:rsidRPr="001B6528">
        <w:rPr>
          <w:rFonts w:asciiTheme="minorBidi" w:eastAsiaTheme="majorEastAsia" w:hAnsiTheme="minorBidi"/>
          <w:color w:val="000000" w:themeColor="text1"/>
          <w:sz w:val="20"/>
          <w:szCs w:val="20"/>
        </w:rPr>
        <w:t>Additional examples of E-CND</w:t>
      </w:r>
      <w:r w:rsidR="008C1F43">
        <w:rPr>
          <w:rFonts w:asciiTheme="minorBidi" w:eastAsiaTheme="majorEastAsia" w:hAnsiTheme="minorBidi"/>
          <w:color w:val="000000" w:themeColor="text1"/>
          <w:sz w:val="20"/>
          <w:szCs w:val="20"/>
        </w:rPr>
        <w:t>s</w:t>
      </w:r>
      <w:r w:rsidR="0067745B" w:rsidRPr="001B6528">
        <w:rPr>
          <w:rFonts w:asciiTheme="minorBidi" w:eastAsiaTheme="majorEastAsia" w:hAnsiTheme="minorBidi"/>
          <w:color w:val="000000" w:themeColor="text1"/>
          <w:sz w:val="20"/>
          <w:szCs w:val="20"/>
        </w:rPr>
        <w:t xml:space="preserve"> localization relative to mitochondria in MDA-MB-231 cells. (A) Fluorescence signal of E-CNDs (cyan). (B) Mitochondria labeled with MitoTracker™ Red. (C) Merged image of E-CNDs and mitochondria. (D) Overlay of fluorescence channels with the bright-field image for structural context. Scale bars = 40 µm.</w:t>
      </w:r>
    </w:p>
    <w:p w14:paraId="1A65A82C" w14:textId="54393B0B" w:rsidR="00302181" w:rsidRPr="00A27BBE" w:rsidRDefault="00302181" w:rsidP="00A27BBE">
      <w:pPr>
        <w:spacing w:after="0" w:line="480" w:lineRule="auto"/>
        <w:jc w:val="both"/>
        <w:rPr>
          <w:rFonts w:asciiTheme="minorBidi" w:eastAsiaTheme="majorEastAsia" w:hAnsiTheme="minorBidi"/>
          <w:color w:val="000000" w:themeColor="text1"/>
          <w:sz w:val="20"/>
          <w:szCs w:val="20"/>
        </w:rPr>
      </w:pPr>
    </w:p>
    <w:p w14:paraId="1489FE8B" w14:textId="77777777" w:rsidR="000C1432" w:rsidRPr="001B6528" w:rsidRDefault="000C1432" w:rsidP="000C1432">
      <w:pPr>
        <w:rPr>
          <w:rFonts w:asciiTheme="minorBidi" w:hAnsiTheme="minorBidi"/>
          <w:sz w:val="20"/>
          <w:szCs w:val="20"/>
        </w:rPr>
      </w:pPr>
    </w:p>
    <w:p w14:paraId="7290A367" w14:textId="2B783B64" w:rsidR="000C1432" w:rsidRPr="001B6528" w:rsidRDefault="000C1432" w:rsidP="000C1432">
      <w:pPr>
        <w:rPr>
          <w:rFonts w:asciiTheme="minorBidi" w:hAnsiTheme="minorBidi"/>
          <w:sz w:val="20"/>
          <w:szCs w:val="20"/>
        </w:rPr>
      </w:pPr>
    </w:p>
    <w:sectPr w:rsidR="000C1432" w:rsidRPr="001B6528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5F95" w14:textId="77777777" w:rsidR="00875641" w:rsidRDefault="00875641" w:rsidP="00875641">
      <w:pPr>
        <w:spacing w:after="0" w:line="240" w:lineRule="auto"/>
      </w:pPr>
      <w:r>
        <w:separator/>
      </w:r>
    </w:p>
  </w:endnote>
  <w:endnote w:type="continuationSeparator" w:id="0">
    <w:p w14:paraId="41325690" w14:textId="77777777" w:rsidR="00875641" w:rsidRDefault="00875641" w:rsidP="0087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374C" w14:textId="1C9E1FE8" w:rsidR="00875641" w:rsidRDefault="008756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3ABCC7" wp14:editId="695D96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340" cy="346075"/>
              <wp:effectExtent l="0" t="0" r="10160" b="0"/>
              <wp:wrapNone/>
              <wp:docPr id="208983509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340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FC6BB" w14:textId="44E7F5EF" w:rsidR="00875641" w:rsidRPr="00875641" w:rsidRDefault="00875641" w:rsidP="0087564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7564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ABC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52FC6BB" w14:textId="44E7F5EF" w:rsidR="00875641" w:rsidRPr="00875641" w:rsidRDefault="00875641" w:rsidP="0087564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7564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2726" w14:textId="2AD90E82" w:rsidR="00875641" w:rsidRDefault="008756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E62F9" wp14:editId="459CCB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340" cy="346075"/>
              <wp:effectExtent l="0" t="0" r="10160" b="0"/>
              <wp:wrapNone/>
              <wp:docPr id="59910738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340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BC509" w14:textId="53F2B2B9" w:rsidR="00875641" w:rsidRPr="00875641" w:rsidRDefault="00875641" w:rsidP="0087564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7564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E62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4EBC509" w14:textId="53F2B2B9" w:rsidR="00875641" w:rsidRPr="00875641" w:rsidRDefault="00875641" w:rsidP="0087564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7564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0D03" w14:textId="40824A23" w:rsidR="00875641" w:rsidRDefault="008756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62E6FF" wp14:editId="7F4D84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340" cy="346075"/>
              <wp:effectExtent l="0" t="0" r="10160" b="0"/>
              <wp:wrapNone/>
              <wp:docPr id="136137204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340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74B73" w14:textId="1BB66B52" w:rsidR="00875641" w:rsidRPr="00875641" w:rsidRDefault="00875641" w:rsidP="0087564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7564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2E6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F174B73" w14:textId="1BB66B52" w:rsidR="00875641" w:rsidRPr="00875641" w:rsidRDefault="00875641" w:rsidP="0087564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7564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FC0E" w14:textId="77777777" w:rsidR="00875641" w:rsidRDefault="00875641" w:rsidP="00875641">
      <w:pPr>
        <w:spacing w:after="0" w:line="240" w:lineRule="auto"/>
      </w:pPr>
      <w:r>
        <w:separator/>
      </w:r>
    </w:p>
  </w:footnote>
  <w:footnote w:type="continuationSeparator" w:id="0">
    <w:p w14:paraId="4F5BA7E8" w14:textId="77777777" w:rsidR="00875641" w:rsidRDefault="00875641" w:rsidP="00875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CwMLG0MDM2tDA0NTBX0lEKTi0uzszPAykwtKgFAH8lsHEtAAAA"/>
  </w:docVars>
  <w:rsids>
    <w:rsidRoot w:val="00924655"/>
    <w:rsid w:val="00022B7D"/>
    <w:rsid w:val="00095ABF"/>
    <w:rsid w:val="00096F6C"/>
    <w:rsid w:val="000A5B3D"/>
    <w:rsid w:val="000B4DFF"/>
    <w:rsid w:val="000C0D57"/>
    <w:rsid w:val="000C1432"/>
    <w:rsid w:val="001140C3"/>
    <w:rsid w:val="00137B49"/>
    <w:rsid w:val="001A7BDD"/>
    <w:rsid w:val="001B6528"/>
    <w:rsid w:val="001E1646"/>
    <w:rsid w:val="001E46F9"/>
    <w:rsid w:val="001E74C5"/>
    <w:rsid w:val="001F5990"/>
    <w:rsid w:val="00211BC0"/>
    <w:rsid w:val="00230D32"/>
    <w:rsid w:val="00234548"/>
    <w:rsid w:val="002E1414"/>
    <w:rsid w:val="00302181"/>
    <w:rsid w:val="003228F1"/>
    <w:rsid w:val="00323AD2"/>
    <w:rsid w:val="00355F09"/>
    <w:rsid w:val="0036682F"/>
    <w:rsid w:val="00367360"/>
    <w:rsid w:val="003832DA"/>
    <w:rsid w:val="00383BD4"/>
    <w:rsid w:val="003D11F9"/>
    <w:rsid w:val="003D206D"/>
    <w:rsid w:val="003D2242"/>
    <w:rsid w:val="004169DA"/>
    <w:rsid w:val="004453FD"/>
    <w:rsid w:val="004565C4"/>
    <w:rsid w:val="0046487C"/>
    <w:rsid w:val="004732E5"/>
    <w:rsid w:val="00476081"/>
    <w:rsid w:val="004853AD"/>
    <w:rsid w:val="004D7842"/>
    <w:rsid w:val="004E79DB"/>
    <w:rsid w:val="005002C5"/>
    <w:rsid w:val="00517C8A"/>
    <w:rsid w:val="0052483F"/>
    <w:rsid w:val="0057423E"/>
    <w:rsid w:val="005759A2"/>
    <w:rsid w:val="00586AB5"/>
    <w:rsid w:val="00587DB9"/>
    <w:rsid w:val="005D1D95"/>
    <w:rsid w:val="005E30E5"/>
    <w:rsid w:val="005E7F51"/>
    <w:rsid w:val="005F4018"/>
    <w:rsid w:val="00624682"/>
    <w:rsid w:val="00625B5F"/>
    <w:rsid w:val="00634E6E"/>
    <w:rsid w:val="0063512F"/>
    <w:rsid w:val="006613E5"/>
    <w:rsid w:val="00661AE1"/>
    <w:rsid w:val="00673340"/>
    <w:rsid w:val="0067745B"/>
    <w:rsid w:val="006942AD"/>
    <w:rsid w:val="006A62BD"/>
    <w:rsid w:val="006C2516"/>
    <w:rsid w:val="006C3C47"/>
    <w:rsid w:val="006E61AD"/>
    <w:rsid w:val="00706543"/>
    <w:rsid w:val="007263EA"/>
    <w:rsid w:val="007329C3"/>
    <w:rsid w:val="00762684"/>
    <w:rsid w:val="007C02C8"/>
    <w:rsid w:val="007F075A"/>
    <w:rsid w:val="00862CD2"/>
    <w:rsid w:val="00875641"/>
    <w:rsid w:val="0088204E"/>
    <w:rsid w:val="00887177"/>
    <w:rsid w:val="008912B5"/>
    <w:rsid w:val="008B4085"/>
    <w:rsid w:val="008C1F43"/>
    <w:rsid w:val="008C7824"/>
    <w:rsid w:val="008E4FC0"/>
    <w:rsid w:val="00905207"/>
    <w:rsid w:val="00924655"/>
    <w:rsid w:val="00940DE5"/>
    <w:rsid w:val="00947342"/>
    <w:rsid w:val="009A5A6E"/>
    <w:rsid w:val="009B61BD"/>
    <w:rsid w:val="009C544B"/>
    <w:rsid w:val="009D4DE3"/>
    <w:rsid w:val="009E4D65"/>
    <w:rsid w:val="00A02E63"/>
    <w:rsid w:val="00A135D3"/>
    <w:rsid w:val="00A27BBE"/>
    <w:rsid w:val="00A27DBA"/>
    <w:rsid w:val="00A367B2"/>
    <w:rsid w:val="00A711B2"/>
    <w:rsid w:val="00A713AA"/>
    <w:rsid w:val="00A80EE6"/>
    <w:rsid w:val="00A81704"/>
    <w:rsid w:val="00A86678"/>
    <w:rsid w:val="00A93030"/>
    <w:rsid w:val="00A97D14"/>
    <w:rsid w:val="00AC67CA"/>
    <w:rsid w:val="00AD10D3"/>
    <w:rsid w:val="00AE1564"/>
    <w:rsid w:val="00B10A9C"/>
    <w:rsid w:val="00B13CC8"/>
    <w:rsid w:val="00B16223"/>
    <w:rsid w:val="00B20EB4"/>
    <w:rsid w:val="00B27315"/>
    <w:rsid w:val="00B27FDB"/>
    <w:rsid w:val="00B96469"/>
    <w:rsid w:val="00BD5A07"/>
    <w:rsid w:val="00BD7027"/>
    <w:rsid w:val="00BD7B23"/>
    <w:rsid w:val="00C016ED"/>
    <w:rsid w:val="00C05A94"/>
    <w:rsid w:val="00C241F3"/>
    <w:rsid w:val="00C5563E"/>
    <w:rsid w:val="00CA268D"/>
    <w:rsid w:val="00CD0A8B"/>
    <w:rsid w:val="00CD0F48"/>
    <w:rsid w:val="00CE2C69"/>
    <w:rsid w:val="00CF107B"/>
    <w:rsid w:val="00CF7B1A"/>
    <w:rsid w:val="00D05D3C"/>
    <w:rsid w:val="00D2489F"/>
    <w:rsid w:val="00D24CF5"/>
    <w:rsid w:val="00D328ED"/>
    <w:rsid w:val="00D34DC5"/>
    <w:rsid w:val="00D35D32"/>
    <w:rsid w:val="00D53239"/>
    <w:rsid w:val="00D85646"/>
    <w:rsid w:val="00E10DCE"/>
    <w:rsid w:val="00E20812"/>
    <w:rsid w:val="00E31B95"/>
    <w:rsid w:val="00E33119"/>
    <w:rsid w:val="00E43441"/>
    <w:rsid w:val="00E438C1"/>
    <w:rsid w:val="00E63D12"/>
    <w:rsid w:val="00E672AE"/>
    <w:rsid w:val="00E76349"/>
    <w:rsid w:val="00E879DA"/>
    <w:rsid w:val="00E9670D"/>
    <w:rsid w:val="00EA4223"/>
    <w:rsid w:val="00EA5069"/>
    <w:rsid w:val="00EB36F0"/>
    <w:rsid w:val="00EB530D"/>
    <w:rsid w:val="00EC3C7A"/>
    <w:rsid w:val="00EC75CE"/>
    <w:rsid w:val="00EE0FC8"/>
    <w:rsid w:val="00F21789"/>
    <w:rsid w:val="00F46D82"/>
    <w:rsid w:val="00F825EA"/>
    <w:rsid w:val="00FA213E"/>
    <w:rsid w:val="00FD2D2E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E815"/>
  <w15:chartTrackingRefBased/>
  <w15:docId w15:val="{A12C2043-B4B5-4BDD-9CE5-02C93BD4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65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46D82"/>
    <w:rPr>
      <w:b/>
      <w:bCs/>
    </w:rPr>
  </w:style>
  <w:style w:type="character" w:styleId="Emphasis">
    <w:name w:val="Emphasis"/>
    <w:basedOn w:val="DefaultParagraphFont"/>
    <w:uiPriority w:val="20"/>
    <w:qFormat/>
    <w:rsid w:val="00CF107B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75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D405-F001-47A2-ACA7-1522D42E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mehrnoosh bahadorani</dc:creator>
  <cp:keywords/>
  <dc:description/>
  <cp:lastModifiedBy>Zakeri, Fatin</cp:lastModifiedBy>
  <cp:revision>2</cp:revision>
  <dcterms:created xsi:type="dcterms:W3CDTF">2025-11-26T02:25:00Z</dcterms:created>
  <dcterms:modified xsi:type="dcterms:W3CDTF">2025-11-26T02:25:00Z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5124e390,7c905a54,23b5a73b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2025-11-26T02:25:17Z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78db09ec-8851-4881-b18d-168aff12e526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