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D3A2">
      <w:pPr>
        <w:rPr>
          <w:rFonts w:hint="default" w:ascii="Arial" w:hAnsi="Arial" w:cs="Arial"/>
          <w:b/>
          <w:bCs/>
          <w:sz w:val="24"/>
          <w:szCs w:val="24"/>
          <w:highlight w:val="none"/>
        </w:rPr>
      </w:pPr>
      <w:r>
        <w:rPr>
          <w:rFonts w:hint="default" w:ascii="Arial" w:hAnsi="Arial" w:cs="Arial"/>
          <w:b/>
          <w:bCs/>
          <w:sz w:val="24"/>
          <w:szCs w:val="24"/>
          <w:highlight w:val="none"/>
        </w:rPr>
        <w:t>Figure S1</w:t>
      </w:r>
    </w:p>
    <w:p w14:paraId="677D2176">
      <w:pPr>
        <w:rPr>
          <w:rFonts w:hint="default" w:ascii="Arial" w:hAnsi="Arial" w:cs="Arial"/>
          <w:b/>
          <w:bCs/>
          <w:sz w:val="24"/>
          <w:szCs w:val="24"/>
          <w:highlight w:val="none"/>
        </w:rPr>
      </w:pPr>
    </w:p>
    <w:p w14:paraId="0DF14EC5">
      <w:pPr>
        <w:jc w:val="center"/>
        <w:rPr>
          <w:rFonts w:hint="default" w:ascii="Arial" w:hAnsi="Arial" w:cs="Arial" w:eastAsiaTheme="minorEastAsia"/>
          <w:sz w:val="24"/>
          <w:szCs w:val="24"/>
          <w:highlight w:val="none"/>
          <w:lang w:eastAsia="zh-CN"/>
        </w:rPr>
      </w:pPr>
      <w:r>
        <w:rPr>
          <w:rFonts w:hint="default" w:ascii="Arial" w:hAnsi="Arial" w:cs="Arial" w:eastAsiaTheme="minorEastAsia"/>
          <w:sz w:val="24"/>
          <w:szCs w:val="24"/>
          <w:highlight w:val="none"/>
          <w:lang w:eastAsia="zh-CN"/>
        </w:rPr>
        <w:drawing>
          <wp:inline distT="0" distB="0" distL="114300" distR="114300">
            <wp:extent cx="4230370" cy="2688590"/>
            <wp:effectExtent l="0" t="0" r="0" b="0"/>
            <wp:docPr id="1" name="图片 1" descr="Fig S1 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 S1 YK"/>
                    <pic:cNvPicPr>
                      <a:picLocks noChangeAspect="1"/>
                    </pic:cNvPicPr>
                  </pic:nvPicPr>
                  <pic:blipFill>
                    <a:blip r:embed="rId4"/>
                    <a:stretch>
                      <a:fillRect/>
                    </a:stretch>
                  </pic:blipFill>
                  <pic:spPr>
                    <a:xfrm>
                      <a:off x="0" y="0"/>
                      <a:ext cx="4230370" cy="2688590"/>
                    </a:xfrm>
                    <a:prstGeom prst="rect">
                      <a:avLst/>
                    </a:prstGeom>
                  </pic:spPr>
                </pic:pic>
              </a:graphicData>
            </a:graphic>
          </wp:inline>
        </w:drawing>
      </w:r>
    </w:p>
    <w:p w14:paraId="33665007">
      <w:pPr>
        <w:rPr>
          <w:rFonts w:hint="default" w:ascii="Arial" w:hAnsi="Arial" w:cs="Arial"/>
          <w:sz w:val="24"/>
          <w:szCs w:val="24"/>
          <w:highlight w:val="none"/>
        </w:rPr>
      </w:pPr>
      <w:r>
        <w:rPr>
          <w:rFonts w:hint="default" w:ascii="Arial" w:hAnsi="Arial" w:cs="Arial"/>
          <w:b/>
          <w:bCs/>
          <w:sz w:val="24"/>
          <w:szCs w:val="24"/>
          <w:highlight w:val="none"/>
        </w:rPr>
        <w:t>Figure S1. Effect of YK-4-279 on the proliferation capacity of osteoblast MC3T3-E1 cells and rat renal podocytes.</w:t>
      </w:r>
      <w:r>
        <w:rPr>
          <w:rFonts w:hint="default" w:ascii="Arial" w:hAnsi="Arial" w:cs="Arial"/>
          <w:sz w:val="24"/>
          <w:szCs w:val="24"/>
          <w:highlight w:val="none"/>
        </w:rPr>
        <w:t xml:space="preserve"> Cells were treated with different concentrations of YK-4-279 for 24 h. Cell viability was determined using the CCK-8 method. Data are the mean ± standard deviation of five independent experiments.</w:t>
      </w:r>
    </w:p>
    <w:p w14:paraId="38327385">
      <w:pPr>
        <w:rPr>
          <w:rFonts w:hint="default" w:ascii="Arial" w:hAnsi="Arial" w:cs="Arial"/>
          <w:sz w:val="24"/>
          <w:szCs w:val="24"/>
          <w:highlight w:val="none"/>
        </w:rPr>
      </w:pPr>
      <w:r>
        <w:rPr>
          <w:rFonts w:hint="default" w:ascii="Arial" w:hAnsi="Arial" w:cs="Arial"/>
          <w:sz w:val="24"/>
          <w:szCs w:val="24"/>
          <w:highlight w:val="none"/>
        </w:rPr>
        <w:br w:type="page"/>
      </w:r>
    </w:p>
    <w:p w14:paraId="769A1F11">
      <w:pPr>
        <w:rPr>
          <w:rFonts w:hint="eastAsia" w:ascii="Arial" w:hAnsi="Arial" w:cs="Arial"/>
          <w:b/>
          <w:bCs/>
          <w:sz w:val="24"/>
          <w:szCs w:val="24"/>
          <w:highlight w:val="none"/>
          <w:lang w:val="en-US" w:eastAsia="zh-CN"/>
        </w:rPr>
      </w:pPr>
      <w:r>
        <w:rPr>
          <w:rFonts w:hint="default" w:ascii="Arial" w:hAnsi="Arial" w:cs="Arial"/>
          <w:b/>
          <w:bCs/>
          <w:sz w:val="24"/>
          <w:szCs w:val="24"/>
          <w:highlight w:val="none"/>
        </w:rPr>
        <w:t>Figure S</w:t>
      </w:r>
      <w:r>
        <w:rPr>
          <w:rFonts w:hint="eastAsia" w:ascii="Arial" w:hAnsi="Arial" w:cs="Arial"/>
          <w:b/>
          <w:bCs/>
          <w:sz w:val="24"/>
          <w:szCs w:val="24"/>
          <w:highlight w:val="none"/>
          <w:lang w:val="en-US" w:eastAsia="zh-CN"/>
        </w:rPr>
        <w:t>2</w:t>
      </w:r>
    </w:p>
    <w:p w14:paraId="6A87CBC3">
      <w:pPr>
        <w:rPr>
          <w:rFonts w:hint="eastAsia" w:ascii="Segoe UI" w:hAnsi="Segoe UI" w:eastAsia="宋体" w:cs="Segoe UI"/>
          <w:i w:val="0"/>
          <w:iCs w:val="0"/>
          <w:caps w:val="0"/>
          <w:color w:val="0000FF"/>
          <w:spacing w:val="0"/>
          <w:sz w:val="24"/>
          <w:szCs w:val="24"/>
          <w:highlight w:val="none"/>
          <w:shd w:val="clear" w:fill="EDF3FE"/>
          <w:lang w:eastAsia="zh-CN"/>
        </w:rPr>
      </w:pPr>
      <w:r>
        <w:rPr>
          <w:rFonts w:hint="eastAsia" w:ascii="Segoe UI" w:hAnsi="Segoe UI" w:eastAsia="宋体" w:cs="Segoe UI"/>
          <w:i w:val="0"/>
          <w:iCs w:val="0"/>
          <w:caps w:val="0"/>
          <w:color w:val="0000FF"/>
          <w:spacing w:val="0"/>
          <w:sz w:val="24"/>
          <w:szCs w:val="24"/>
          <w:highlight w:val="none"/>
          <w:shd w:val="clear" w:fill="EDF3FE"/>
          <w:lang w:eastAsia="zh-CN"/>
        </w:rPr>
        <w:drawing>
          <wp:inline distT="0" distB="0" distL="114300" distR="114300">
            <wp:extent cx="5273675" cy="7615555"/>
            <wp:effectExtent l="0" t="0" r="3175" b="4445"/>
            <wp:docPr id="2" name="图片 2" descr="4、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igure S2"/>
                    <pic:cNvPicPr>
                      <a:picLocks noChangeAspect="1"/>
                    </pic:cNvPicPr>
                  </pic:nvPicPr>
                  <pic:blipFill>
                    <a:blip r:embed="rId5"/>
                    <a:stretch>
                      <a:fillRect/>
                    </a:stretch>
                  </pic:blipFill>
                  <pic:spPr>
                    <a:xfrm>
                      <a:off x="0" y="0"/>
                      <a:ext cx="5273675" cy="7615555"/>
                    </a:xfrm>
                    <a:prstGeom prst="rect">
                      <a:avLst/>
                    </a:prstGeom>
                  </pic:spPr>
                </pic:pic>
              </a:graphicData>
            </a:graphic>
          </wp:inline>
        </w:drawing>
      </w:r>
    </w:p>
    <w:p w14:paraId="3273033C">
      <w:pPr>
        <w:rPr>
          <w:rFonts w:hint="default" w:ascii="Arial" w:hAnsi="Arial" w:cs="Arial"/>
          <w:b/>
          <w:bCs/>
          <w:sz w:val="24"/>
          <w:szCs w:val="24"/>
          <w:highlight w:val="none"/>
          <w:lang w:val="en-US" w:eastAsia="zh-CN"/>
        </w:rPr>
      </w:pPr>
      <w:r>
        <w:rPr>
          <w:rFonts w:hint="eastAsia" w:ascii="Arial" w:hAnsi="Arial" w:cs="Arial"/>
          <w:b/>
          <w:bCs/>
          <w:sz w:val="24"/>
          <w:szCs w:val="24"/>
          <w:highlight w:val="none"/>
          <w:lang w:val="en-US" w:eastAsia="zh-CN"/>
        </w:rPr>
        <w:t xml:space="preserve">Figure S2. Anti-tumor effect of YK-4-279 in a nude mouse xenograft model of osteosarcoma MG63. </w:t>
      </w:r>
      <w:r>
        <w:rPr>
          <w:rFonts w:hint="eastAsia" w:ascii="Arial" w:hAnsi="Arial" w:cs="Arial"/>
          <w:sz w:val="24"/>
          <w:szCs w:val="24"/>
          <w:highlight w:val="none"/>
          <w:lang w:val="en-US" w:eastAsia="zh-CN"/>
        </w:rPr>
        <w:t xml:space="preserve">In this study, the experimental group was treated with YK-4-279 at a dose of 30 mg/kg/day. (A) Tumor volume growth curve. (B) Body weight monitoring of the mice. (C) Measured tumor weight at the end of the study. (D) Photographs of dissected tumors. (E, F) Protein expression of </w:t>
      </w:r>
      <w:r>
        <w:rPr>
          <w:rFonts w:hint="default" w:ascii="Times New Roman" w:hAnsi="Times New Roman" w:cs="Times New Roman"/>
          <w:sz w:val="24"/>
          <w:szCs w:val="24"/>
          <w:highlight w:val="none"/>
          <w:lang w:val="en-US" w:eastAsia="zh-CN"/>
        </w:rPr>
        <w:t>γ</w:t>
      </w:r>
      <w:r>
        <w:rPr>
          <w:rFonts w:hint="eastAsia" w:ascii="Arial" w:hAnsi="Arial" w:cs="Arial"/>
          <w:sz w:val="24"/>
          <w:szCs w:val="24"/>
          <w:highlight w:val="none"/>
          <w:lang w:val="en-US" w:eastAsia="zh-CN"/>
        </w:rPr>
        <w:t xml:space="preserve">-H2AX, PARP1, total P38 MAPK, and its phosphorylated form (p-P38 MAPK) in xenograft tumor tissues was detected by Western blot analysis. (G) Analysis of hepatic and renal function parameters from serum biochemical tests in mice. Data are presented as mean </w:t>
      </w:r>
      <w:r>
        <w:rPr>
          <w:rFonts w:hint="default" w:ascii="Times New Roman" w:hAnsi="Times New Roman" w:cs="Times New Roman"/>
          <w:sz w:val="24"/>
          <w:szCs w:val="24"/>
          <w:highlight w:val="none"/>
          <w:lang w:val="en-US" w:eastAsia="zh-CN"/>
        </w:rPr>
        <w:t>±</w:t>
      </w:r>
      <w:r>
        <w:rPr>
          <w:rFonts w:hint="eastAsia" w:ascii="Arial" w:hAnsi="Arial" w:cs="Arial"/>
          <w:sz w:val="24"/>
          <w:szCs w:val="24"/>
          <w:highlight w:val="none"/>
          <w:lang w:val="en-US" w:eastAsia="zh-CN"/>
        </w:rPr>
        <w:t xml:space="preserve"> SD. *</w:t>
      </w:r>
      <w:r>
        <w:rPr>
          <w:rFonts w:hint="eastAsia" w:ascii="Arial" w:hAnsi="Arial" w:cs="Arial"/>
          <w:i/>
          <w:iCs/>
          <w:sz w:val="24"/>
          <w:szCs w:val="24"/>
          <w:highlight w:val="none"/>
          <w:lang w:val="en-US" w:eastAsia="zh-CN"/>
        </w:rPr>
        <w:t>P</w:t>
      </w:r>
      <w:r>
        <w:rPr>
          <w:rFonts w:hint="eastAsia" w:ascii="Arial" w:hAnsi="Arial" w:cs="Arial"/>
          <w:sz w:val="24"/>
          <w:szCs w:val="24"/>
          <w:highlight w:val="none"/>
          <w:lang w:val="en-US" w:eastAsia="zh-CN"/>
        </w:rPr>
        <w:t xml:space="preserve"> &lt; 0.05, **</w:t>
      </w:r>
      <w:r>
        <w:rPr>
          <w:rFonts w:hint="eastAsia" w:ascii="Arial" w:hAnsi="Arial" w:cs="Arial"/>
          <w:i/>
          <w:iCs/>
          <w:sz w:val="24"/>
          <w:szCs w:val="24"/>
          <w:highlight w:val="none"/>
          <w:lang w:val="en-US" w:eastAsia="zh-CN"/>
        </w:rPr>
        <w:t>P</w:t>
      </w:r>
      <w:r>
        <w:rPr>
          <w:rFonts w:hint="eastAsia" w:ascii="Arial" w:hAnsi="Arial" w:cs="Arial"/>
          <w:sz w:val="24"/>
          <w:szCs w:val="24"/>
          <w:highlight w:val="none"/>
          <w:lang w:val="en-US" w:eastAsia="zh-CN"/>
        </w:rPr>
        <w:t xml:space="preserve"> &lt; 0.0</w:t>
      </w:r>
      <w:bookmarkStart w:id="0" w:name="_GoBack"/>
      <w:bookmarkEnd w:id="0"/>
      <w:r>
        <w:rPr>
          <w:rFonts w:hint="eastAsia" w:ascii="Arial" w:hAnsi="Arial" w:cs="Arial"/>
          <w:sz w:val="24"/>
          <w:szCs w:val="24"/>
          <w:highlight w:val="none"/>
          <w:lang w:val="en-US" w:eastAsia="zh-CN"/>
        </w:rPr>
        <w:t>1, ***</w:t>
      </w:r>
      <w:r>
        <w:rPr>
          <w:rFonts w:hint="eastAsia" w:ascii="Arial" w:hAnsi="Arial" w:cs="Arial"/>
          <w:i/>
          <w:iCs/>
          <w:sz w:val="24"/>
          <w:szCs w:val="24"/>
          <w:highlight w:val="none"/>
          <w:lang w:val="en-US" w:eastAsia="zh-CN"/>
        </w:rPr>
        <w:t>P</w:t>
      </w:r>
      <w:r>
        <w:rPr>
          <w:rFonts w:hint="eastAsia" w:ascii="Arial" w:hAnsi="Arial" w:cs="Arial"/>
          <w:sz w:val="24"/>
          <w:szCs w:val="24"/>
          <w:highlight w:val="none"/>
          <w:lang w:val="en-US" w:eastAsia="zh-CN"/>
        </w:rPr>
        <w:t xml:space="preserve"> &lt; 0.001 compared with the control group.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851D1"/>
    <w:rsid w:val="07D87898"/>
    <w:rsid w:val="0CF956B3"/>
    <w:rsid w:val="0D984FA6"/>
    <w:rsid w:val="0E4A266A"/>
    <w:rsid w:val="13E64BE3"/>
    <w:rsid w:val="13E8731A"/>
    <w:rsid w:val="1C744D56"/>
    <w:rsid w:val="1C7E5655"/>
    <w:rsid w:val="25D86356"/>
    <w:rsid w:val="26BB3CAD"/>
    <w:rsid w:val="28920A3E"/>
    <w:rsid w:val="2AD851D1"/>
    <w:rsid w:val="2BAA5D28"/>
    <w:rsid w:val="2CA64AB8"/>
    <w:rsid w:val="2D61122B"/>
    <w:rsid w:val="3A513352"/>
    <w:rsid w:val="3AC16F61"/>
    <w:rsid w:val="3AE01ADD"/>
    <w:rsid w:val="434A043B"/>
    <w:rsid w:val="4B7F7C5F"/>
    <w:rsid w:val="5012408F"/>
    <w:rsid w:val="51051E45"/>
    <w:rsid w:val="54297BF9"/>
    <w:rsid w:val="552F3D56"/>
    <w:rsid w:val="56C62959"/>
    <w:rsid w:val="5A3F3E31"/>
    <w:rsid w:val="5D791198"/>
    <w:rsid w:val="5EF84D97"/>
    <w:rsid w:val="620606B3"/>
    <w:rsid w:val="628647C6"/>
    <w:rsid w:val="69823BDB"/>
    <w:rsid w:val="6B0C237E"/>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Words>
  <Characters>858</Characters>
  <Lines>0</Lines>
  <Paragraphs>0</Paragraphs>
  <TotalTime>0</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2025-08-08T07:58:00Z</dcterms:created>
  <dc:creator>X</dc:creator>
  <cp:lastModifiedBy>X</cp:lastModifiedBy>
  <dcterms:modified xsi:type="dcterms:W3CDTF">2025-12-03T01:28:43Z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5A837D54D3C347AE980A99410F44BF19_11</vt:lpwstr>
  </property>
  <property fmtid="{D5CDD505-2E9C-101B-9397-08002B2CF9AE}" pid="4" name="KSOTemplateDocerSaveRecord">
    <vt:lpwstr>eyJoZGlkIjoiMDkwNDBmM2IwYTllNDhjNGNmN2Q2YWE0YTNlNjJjNWYiLCJ1c2VySWQiOiIzNTU3NjY4NDQifQ==</vt:lpwstr>
  </property>
</Properties>
</file>