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D591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</w:t>
      </w:r>
    </w:p>
    <w:p w14:paraId="50F2DD3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S1. Primers for amplification and SNaPshot® analysis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24"/>
        <w:gridCol w:w="5221"/>
      </w:tblGrid>
      <w:tr w14:paraId="66664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</w:tcPr>
          <w:p w14:paraId="101E448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Gene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center"/>
          </w:tcPr>
          <w:p w14:paraId="7437C0F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SNP</w:t>
            </w:r>
          </w:p>
        </w:tc>
        <w:tc>
          <w:tcPr>
            <w:tcW w:w="30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noWrap/>
            <w:vAlign w:val="bottom"/>
          </w:tcPr>
          <w:p w14:paraId="19F1A57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Primer sequence (5’-3’)</w:t>
            </w:r>
          </w:p>
        </w:tc>
      </w:tr>
      <w:tr w14:paraId="5752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82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CYP2C9*2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10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rs1799853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B323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CAGGAAGAGATTGAACGTGTGAT</w:t>
            </w:r>
          </w:p>
        </w:tc>
      </w:tr>
      <w:tr w14:paraId="6327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D15D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4C5E1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2183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GGAGAAACAAACTTACCTTGGGA</w:t>
            </w:r>
          </w:p>
        </w:tc>
      </w:tr>
      <w:tr w14:paraId="577B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C6597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2430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3456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GTGCACGAGGTCCAGAGATAC</w:t>
            </w:r>
          </w:p>
        </w:tc>
      </w:tr>
      <w:tr w14:paraId="3758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BFA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CYP2C9*2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C8C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rs1799853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C5DD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GTCAGCTTCCTCTTTCTTGCC</w:t>
            </w:r>
          </w:p>
        </w:tc>
      </w:tr>
      <w:tr w14:paraId="4B18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B75D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55F4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4DEE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CACCCCTGAAATGTTTCCAA</w:t>
            </w:r>
          </w:p>
        </w:tc>
      </w:tr>
      <w:tr w14:paraId="56FE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1834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D5D38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06CE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GGGAAGAGGAGCATTGAGGAC</w:t>
            </w:r>
          </w:p>
        </w:tc>
      </w:tr>
      <w:tr w14:paraId="5ABC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099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CYP2C9*8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B99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rs1057910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FE5B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GTCAGCTTCCTCTTTCTTGCC</w:t>
            </w:r>
          </w:p>
        </w:tc>
      </w:tr>
      <w:tr w14:paraId="3CB6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A24C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B29C4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1EE1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CACCCCTGAAATGTTTCCAA</w:t>
            </w:r>
          </w:p>
        </w:tc>
      </w:tr>
      <w:tr w14:paraId="7B66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7001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A6A7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2117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CTCAACTCCTCCACAAGGCAG</w:t>
            </w:r>
          </w:p>
        </w:tc>
      </w:tr>
      <w:tr w14:paraId="06BC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D5A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CYP2C9*29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ED6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rs182132442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3A20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GAATTCACTGTAATCAAATATGCTGG</w:t>
            </w:r>
          </w:p>
        </w:tc>
      </w:tr>
      <w:tr w14:paraId="12E7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8EF26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61A6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EE79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CATATCTCAGGGTTGTGCTTGTC</w:t>
            </w:r>
          </w:p>
        </w:tc>
      </w:tr>
      <w:tr w14:paraId="0AE4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75C89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9C671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B1C2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TCCTAGGAAAAGCACAACCAA</w:t>
            </w:r>
          </w:p>
        </w:tc>
      </w:tr>
      <w:tr w14:paraId="4DE16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F7D5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ABCB1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AC0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rs1045642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5E2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ATCGTGTCCCAGGAGCCCAT</w:t>
            </w:r>
          </w:p>
        </w:tc>
      </w:tr>
      <w:tr w14:paraId="587DF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7ED65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F0CAB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16B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GCTCCCAGGCTGTTTATTTGA</w:t>
            </w:r>
          </w:p>
        </w:tc>
      </w:tr>
      <w:tr w14:paraId="1386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28DB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22DB3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119C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CCTCCTTTGCTGCCCTCAC</w:t>
            </w:r>
          </w:p>
        </w:tc>
      </w:tr>
      <w:tr w14:paraId="0439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160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PXR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324B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rs1523127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862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TGCTTGGTGGTAAGTTCTTTGC</w:t>
            </w:r>
          </w:p>
        </w:tc>
      </w:tr>
      <w:tr w14:paraId="3155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1F5FB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A6DAA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DC5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GCCTTTACTTCAGTGGGAATCTC</w:t>
            </w:r>
          </w:p>
        </w:tc>
      </w:tr>
      <w:tr w14:paraId="1637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0646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782A6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F24E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GAATAAGCTAATACTCCTGTCCTGAA</w:t>
            </w:r>
          </w:p>
        </w:tc>
      </w:tr>
      <w:tr w14:paraId="010B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76E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PXR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F8C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rs3814055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BABC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AGGGCTGGATTAAAGCATGTACT</w:t>
            </w:r>
          </w:p>
        </w:tc>
      </w:tr>
      <w:tr w14:paraId="2F91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A9B8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9C533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68E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CAAGCCTCTGGCAACAGTAAAG</w:t>
            </w:r>
          </w:p>
        </w:tc>
      </w:tr>
      <w:tr w14:paraId="431D156C"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F2B5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2F6F8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777D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TTTTTGGCAATCCCAGGTT</w:t>
            </w:r>
          </w:p>
        </w:tc>
      </w:tr>
      <w:tr w14:paraId="537EB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B19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POR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7DFA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rs1135612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79D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AGGGCTGGATTAAAGCATGTACT</w:t>
            </w:r>
          </w:p>
        </w:tc>
      </w:tr>
      <w:tr w14:paraId="7BC0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BEE1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AA7F3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238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CAAGCCTCTGGCAACAGTAAAG</w:t>
            </w:r>
          </w:p>
        </w:tc>
      </w:tr>
      <w:tr w14:paraId="28F1C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5862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8879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5BA1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TTTTTGGCAATCCCAGGTT</w:t>
            </w:r>
          </w:p>
        </w:tc>
      </w:tr>
      <w:tr w14:paraId="25B8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16C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POR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910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rs1135612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B75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CGGTGGTTGTGGAGTACGAG</w:t>
            </w:r>
          </w:p>
        </w:tc>
      </w:tr>
      <w:tr w14:paraId="7E4BD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62A5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730DD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E0D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GATGAAGCCTATGAAGGGTGC</w:t>
            </w:r>
          </w:p>
        </w:tc>
      </w:tr>
      <w:tr w14:paraId="7F76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D56F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BDBD9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FE3E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CCGCCGTTCTCCCCG</w:t>
            </w:r>
          </w:p>
        </w:tc>
      </w:tr>
      <w:tr w14:paraId="3F8EC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F72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POR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1965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rs1057868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B64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ACATGGTCTCGCTCTGTTGC</w:t>
            </w:r>
          </w:p>
        </w:tc>
      </w:tr>
      <w:tr w14:paraId="6F81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207B1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1FA3B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83BF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GGTGTTGTTCCATAAGGGTGAG</w:t>
            </w:r>
          </w:p>
        </w:tc>
      </w:tr>
      <w:tr w14:paraId="707E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A9CB9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48D7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3E2B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AGCCTTGCAAAGTTCTGAGATC</w:t>
            </w:r>
          </w:p>
        </w:tc>
      </w:tr>
      <w:tr w14:paraId="1939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1AED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UGT1A9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758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rs28898617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191F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TGAAGAAAGCAAATGTAGCAGG</w:t>
            </w:r>
          </w:p>
        </w:tc>
      </w:tr>
      <w:tr w14:paraId="5AA6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92E9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DE99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2F2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ACCAACACCTTTCCACTCTCAG</w:t>
            </w:r>
          </w:p>
        </w:tc>
      </w:tr>
      <w:tr w14:paraId="3184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5738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D0FB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03F2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AGCCACGGCAGGGGAACC</w:t>
            </w:r>
          </w:p>
        </w:tc>
      </w:tr>
      <w:tr w14:paraId="4FBD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5E7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ABCB1</w:t>
            </w:r>
          </w:p>
        </w:tc>
        <w:tc>
          <w:tcPr>
            <w:tcW w:w="89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83F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rs4148738</w:t>
            </w: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4D2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F: GAAAGACCAGGGAAGAGGAAAT</w:t>
            </w:r>
          </w:p>
        </w:tc>
      </w:tr>
      <w:tr w14:paraId="2E079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F2457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60A67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568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R: ATGGGGACTAAGAAGAATGGAAG</w:t>
            </w:r>
          </w:p>
        </w:tc>
      </w:tr>
      <w:tr w14:paraId="39DB4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76B7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024F0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</w:p>
        </w:tc>
        <w:tc>
          <w:tcPr>
            <w:tcW w:w="3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FA71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SNaPshot: GCTGACCTGTTTTTGGCTGAC</w:t>
            </w:r>
          </w:p>
        </w:tc>
      </w:tr>
    </w:tbl>
    <w:p w14:paraId="1F72DD88">
      <w:pPr>
        <w:spacing w:line="480" w:lineRule="auto"/>
        <w:rPr>
          <w:rFonts w:ascii="Arial" w:hAnsi="Arial" w:cs="Arial"/>
          <w:color w:val="auto"/>
          <w:sz w:val="20"/>
          <w:szCs w:val="20"/>
        </w:rPr>
      </w:pPr>
      <w:bookmarkStart w:id="1" w:name="_GoBack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Note: </w:t>
      </w:r>
      <w:r>
        <w:rPr>
          <w:rFonts w:ascii="Arial" w:hAnsi="Arial" w:cs="Arial"/>
          <w:color w:val="auto"/>
          <w:sz w:val="20"/>
          <w:szCs w:val="20"/>
        </w:rPr>
        <w:t>* represents a specific allele or genetic variant of that gene.</w:t>
      </w:r>
    </w:p>
    <w:p w14:paraId="2BE76B35">
      <w:pPr>
        <w:spacing w:line="480" w:lineRule="auto"/>
      </w:pPr>
      <w:r>
        <w:rPr>
          <w:rFonts w:ascii="Arial" w:hAnsi="Arial" w:cs="Arial"/>
          <w:b/>
          <w:bCs/>
          <w:color w:val="auto"/>
          <w:sz w:val="20"/>
          <w:szCs w:val="20"/>
        </w:rPr>
        <w:t>Abbreviations:</w:t>
      </w:r>
      <w:r>
        <w:rPr>
          <w:rFonts w:ascii="Arial" w:hAnsi="Arial" w:cs="Arial"/>
          <w:color w:val="auto"/>
          <w:sz w:val="20"/>
          <w:szCs w:val="20"/>
        </w:rPr>
        <w:t xml:space="preserve"> SNP, single nucleotide polymorphism; F, forward; R, reverse; </w:t>
      </w:r>
      <w:bookmarkEnd w:id="1"/>
      <w:r>
        <w:br w:type="page"/>
      </w:r>
    </w:p>
    <w:p w14:paraId="6808A479">
      <w:pPr>
        <w:jc w:val="center"/>
      </w:pPr>
      <w:r>
        <w:drawing>
          <wp:inline distT="0" distB="0" distL="0" distR="0">
            <wp:extent cx="4019550" cy="24911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648" cy="249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A9617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S1. Schematic diagram of the two-compartment model of flurbiprofen.</w:t>
      </w:r>
    </w:p>
    <w:p w14:paraId="7B7CCBEA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  <w:vertAlign w:val="subscript"/>
        </w:rPr>
        <w:t>12</w:t>
      </w:r>
      <w:r>
        <w:rPr>
          <w:rFonts w:ascii="Arial" w:hAnsi="Arial" w:cs="Arial"/>
          <w:sz w:val="20"/>
          <w:szCs w:val="20"/>
        </w:rPr>
        <w:t>: distribution rate from central to peripheral; k</w:t>
      </w:r>
      <w:r>
        <w:rPr>
          <w:rFonts w:ascii="Arial" w:hAnsi="Arial" w:cs="Arial"/>
          <w:sz w:val="20"/>
          <w:szCs w:val="20"/>
          <w:vertAlign w:val="subscript"/>
        </w:rPr>
        <w:t>21</w:t>
      </w:r>
      <w:r>
        <w:rPr>
          <w:rFonts w:ascii="Arial" w:hAnsi="Arial" w:cs="Arial"/>
          <w:sz w:val="20"/>
          <w:szCs w:val="20"/>
        </w:rPr>
        <w:t>: distribution rate from peripheral to central; k</w:t>
      </w:r>
      <w:r>
        <w:rPr>
          <w:rFonts w:ascii="Arial" w:hAnsi="Arial" w:cs="Arial"/>
          <w:sz w:val="20"/>
          <w:szCs w:val="20"/>
          <w:vertAlign w:val="subscript"/>
        </w:rPr>
        <w:t>e</w:t>
      </w:r>
      <w:r>
        <w:rPr>
          <w:rFonts w:ascii="Arial" w:hAnsi="Arial" w:cs="Arial"/>
          <w:sz w:val="20"/>
          <w:szCs w:val="20"/>
        </w:rPr>
        <w:t>: Elimination rate (metabolism/excretion). IV, Intravenous Injection. C</w:t>
      </w:r>
      <w:r>
        <w:rPr>
          <w:rFonts w:ascii="Arial" w:hAnsi="Arial" w:cs="Arial"/>
          <w:sz w:val="20"/>
          <w:szCs w:val="20"/>
          <w:vertAlign w:val="subscript"/>
        </w:rPr>
        <w:t>plasma</w:t>
      </w:r>
      <w:r>
        <w:rPr>
          <w:rFonts w:ascii="Arial" w:hAnsi="Arial" w:cs="Arial"/>
          <w:sz w:val="20"/>
          <w:szCs w:val="20"/>
        </w:rPr>
        <w:t>, concentration in the plasma; V</w:t>
      </w:r>
      <w:r>
        <w:rPr>
          <w:rFonts w:ascii="Arial" w:hAnsi="Arial" w:cs="Arial"/>
          <w:sz w:val="20"/>
          <w:szCs w:val="20"/>
          <w:vertAlign w:val="subscript"/>
        </w:rPr>
        <w:t>c</w:t>
      </w:r>
      <w:r>
        <w:rPr>
          <w:rFonts w:ascii="Arial" w:hAnsi="Arial" w:cs="Arial"/>
          <w:sz w:val="20"/>
          <w:szCs w:val="20"/>
        </w:rPr>
        <w:t>, apparent volume of distribution in the plasma; C</w:t>
      </w:r>
      <w:r>
        <w:rPr>
          <w:rFonts w:ascii="Arial" w:hAnsi="Arial" w:cs="Arial"/>
          <w:sz w:val="20"/>
          <w:szCs w:val="20"/>
          <w:vertAlign w:val="subscript"/>
        </w:rPr>
        <w:t>CSF</w:t>
      </w:r>
      <w:r>
        <w:rPr>
          <w:rFonts w:ascii="Arial" w:hAnsi="Arial" w:cs="Arial"/>
          <w:sz w:val="20"/>
          <w:szCs w:val="20"/>
        </w:rPr>
        <w:t xml:space="preserve">, concentration in the </w:t>
      </w:r>
      <w:bookmarkStart w:id="0" w:name="OLE_LINK7"/>
      <w:r>
        <w:rPr>
          <w:rFonts w:ascii="Arial" w:hAnsi="Arial" w:cs="Arial"/>
          <w:sz w:val="20"/>
          <w:szCs w:val="20"/>
        </w:rPr>
        <w:t>cerebrospinal fluid</w:t>
      </w:r>
      <w:bookmarkEnd w:id="0"/>
      <w:r>
        <w:rPr>
          <w:rFonts w:ascii="Arial" w:hAnsi="Arial" w:cs="Arial"/>
          <w:sz w:val="20"/>
          <w:szCs w:val="20"/>
        </w:rPr>
        <w:t>; V</w:t>
      </w:r>
      <w:r>
        <w:rPr>
          <w:rFonts w:ascii="Arial" w:hAnsi="Arial" w:cs="Arial"/>
          <w:sz w:val="20"/>
          <w:szCs w:val="20"/>
          <w:vertAlign w:val="subscript"/>
        </w:rPr>
        <w:t>CSF</w:t>
      </w:r>
      <w:r>
        <w:rPr>
          <w:rFonts w:ascii="Arial" w:hAnsi="Arial" w:cs="Arial"/>
          <w:sz w:val="20"/>
          <w:szCs w:val="20"/>
        </w:rPr>
        <w:t>, apparent volume of distribution in the cerebrospinal fluid.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763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BB3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5BB3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96"/>
    <w:rsid w:val="001B5C36"/>
    <w:rsid w:val="004A16AF"/>
    <w:rsid w:val="006B1418"/>
    <w:rsid w:val="00863E02"/>
    <w:rsid w:val="00884EBE"/>
    <w:rsid w:val="00937684"/>
    <w:rsid w:val="009A7B5F"/>
    <w:rsid w:val="00AB7AD1"/>
    <w:rsid w:val="00C8565D"/>
    <w:rsid w:val="00CB7596"/>
    <w:rsid w:val="00DB653B"/>
    <w:rsid w:val="00E668C6"/>
    <w:rsid w:val="08916DC3"/>
    <w:rsid w:val="4C2A1D4B"/>
    <w:rsid w:val="4CC4624E"/>
    <w:rsid w:val="732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1706</Characters>
  <Lines>14</Lines>
  <Paragraphs>3</Paragraphs>
  <TotalTime>24</TotalTime>
  <ScaleCrop>false</ScaleCrop>
  <LinksUpToDate>false</LinksUpToDate>
  <CharactersWithSpaces>1828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2025-03-11T08:13:00Z</dcterms:created>
  <dc:creator>xingxian luo</dc:creator>
  <cp:lastModifiedBy>瑶寒~</cp:lastModifiedBy>
  <dcterms:modified xsi:type="dcterms:W3CDTF">2025-09-10T07:31:35Z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eyJoZGlkIjoiMDYzZjkzMWU0NjE3YzkwZTg4NzVlNGMyNzlmNzM3MGEiLCJ1c2VySWQiOiIyNDM5MDg4NDAifQ==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8492DFD67589450898651DD01F27A52E_13</vt:lpwstr>
  </property>
</Properties>
</file>