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437" w14:textId="32A4DAF8" w:rsidR="001F03D4" w:rsidRPr="00910503" w:rsidRDefault="00846938" w:rsidP="00D9794A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846938">
        <w:rPr>
          <w:rFonts w:ascii="Arial" w:eastAsiaTheme="majorHAnsi" w:hAnsi="Arial" w:cs="Arial" w:hint="eastAsia"/>
          <w:b/>
          <w:bCs/>
          <w:sz w:val="24"/>
          <w:szCs w:val="24"/>
        </w:rPr>
        <w:t>Supplementary material 1</w:t>
      </w:r>
    </w:p>
    <w:p w14:paraId="53F0FAB8" w14:textId="107E3A21" w:rsidR="00FD0D27" w:rsidRPr="00AC35D4" w:rsidRDefault="001F03D4" w:rsidP="00D9794A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 xml:space="preserve">A total of 20 control subjects, 20 patients with eosinophilic CRSwNP, and 36 patients with non-eosinophilic CRSwNP were included in this study. </w:t>
      </w:r>
      <w:r w:rsidR="00436B9C" w:rsidRPr="00AC35D4">
        <w:rPr>
          <w:rFonts w:ascii="Arial" w:eastAsiaTheme="majorHAnsi" w:hAnsi="Arial" w:cs="Arial"/>
          <w:sz w:val="20"/>
          <w:szCs w:val="20"/>
        </w:rPr>
        <w:t xml:space="preserve">From January 2023 to January 2024, </w:t>
      </w:r>
      <w:r w:rsidR="002C76AC" w:rsidRPr="00AC35D4">
        <w:rPr>
          <w:rFonts w:ascii="Arial" w:eastAsiaTheme="majorHAnsi" w:hAnsi="Arial" w:cs="Arial"/>
          <w:sz w:val="20"/>
          <w:szCs w:val="20"/>
        </w:rPr>
        <w:t xml:space="preserve">all patients underwent preoperative sinus CT examination and estimated using </w:t>
      </w:r>
      <w:r w:rsidR="00317B09" w:rsidRPr="00AC35D4">
        <w:rPr>
          <w:rFonts w:ascii="Arial" w:eastAsiaTheme="majorHAnsi" w:hAnsi="Arial" w:cs="Arial"/>
          <w:sz w:val="20"/>
          <w:szCs w:val="20"/>
        </w:rPr>
        <w:t>VAS score,</w:t>
      </w:r>
      <w:r w:rsidR="002C76AC" w:rsidRPr="00AC35D4">
        <w:rPr>
          <w:rFonts w:ascii="Arial" w:eastAsiaTheme="majorHAnsi" w:hAnsi="Arial" w:cs="Arial"/>
          <w:sz w:val="20"/>
          <w:szCs w:val="20"/>
        </w:rPr>
        <w:t>Lund Mackay score and SNOT-22 score</w:t>
      </w:r>
      <w:r w:rsidR="00317B09" w:rsidRPr="00AC35D4">
        <w:rPr>
          <w:rFonts w:ascii="Arial" w:eastAsiaTheme="majorHAnsi" w:hAnsi="Arial" w:cs="Arial"/>
          <w:sz w:val="20"/>
          <w:szCs w:val="20"/>
        </w:rPr>
        <w:t>.</w:t>
      </w:r>
      <w:r w:rsidR="002C76AC" w:rsidRPr="00AC35D4">
        <w:rPr>
          <w:rFonts w:ascii="Arial" w:eastAsiaTheme="majorHAnsi" w:hAnsi="Arial" w:cs="Arial"/>
          <w:sz w:val="20"/>
          <w:szCs w:val="20"/>
        </w:rPr>
        <w:t xml:space="preserve"> </w:t>
      </w:r>
      <w:r w:rsidR="00317B09" w:rsidRPr="00AC35D4">
        <w:rPr>
          <w:rFonts w:ascii="Arial" w:eastAsiaTheme="majorHAnsi" w:hAnsi="Arial" w:cs="Arial"/>
          <w:sz w:val="20"/>
          <w:szCs w:val="20"/>
        </w:rPr>
        <w:t>T</w:t>
      </w:r>
      <w:r w:rsidR="00436B9C" w:rsidRPr="00AC35D4">
        <w:rPr>
          <w:rFonts w:ascii="Arial" w:eastAsiaTheme="majorHAnsi" w:hAnsi="Arial" w:cs="Arial"/>
          <w:sz w:val="20"/>
          <w:szCs w:val="20"/>
        </w:rPr>
        <w:t xml:space="preserve">hese 76 patients underwent endoscopic sinus surgery (FESS) or correction of nasal septum deviation with partial resection of the inferior turbinate. </w:t>
      </w:r>
      <w:r w:rsidR="00295CE8" w:rsidRPr="00AC35D4">
        <w:rPr>
          <w:rFonts w:ascii="Arial" w:eastAsiaTheme="majorHAnsi" w:hAnsi="Arial" w:cs="Arial"/>
          <w:sz w:val="20"/>
          <w:szCs w:val="20"/>
        </w:rPr>
        <w:t>The subjects</w:t>
      </w:r>
      <w:r w:rsidR="00436B9C" w:rsidRPr="00AC35D4">
        <w:rPr>
          <w:rFonts w:ascii="Arial" w:eastAsiaTheme="majorHAnsi" w:hAnsi="Arial" w:cs="Arial"/>
          <w:sz w:val="20"/>
          <w:szCs w:val="20"/>
        </w:rPr>
        <w:t xml:space="preserve"> received standardized perioperative management, and the surgical efficacy was evaluated 6 months after surgery</w:t>
      </w:r>
      <w:r w:rsidR="002C76AC" w:rsidRPr="00AC35D4">
        <w:rPr>
          <w:rFonts w:ascii="Arial" w:eastAsiaTheme="majorHAnsi" w:hAnsi="Arial" w:cs="Arial"/>
          <w:sz w:val="20"/>
          <w:szCs w:val="20"/>
        </w:rPr>
        <w:t xml:space="preserve"> using Lund-Kennedy score and</w:t>
      </w:r>
      <w:r w:rsidR="00EE3B2D" w:rsidRPr="00AC35D4">
        <w:rPr>
          <w:rFonts w:ascii="Arial" w:eastAsiaTheme="majorHAnsi" w:hAnsi="Arial" w:cs="Arial"/>
          <w:sz w:val="20"/>
          <w:szCs w:val="20"/>
        </w:rPr>
        <w:t xml:space="preserve"> SNOT-22 score</w:t>
      </w:r>
      <w:r w:rsidR="00436B9C" w:rsidRPr="00AC35D4">
        <w:rPr>
          <w:rFonts w:ascii="Arial" w:eastAsiaTheme="majorHAnsi" w:hAnsi="Arial" w:cs="Arial"/>
          <w:sz w:val="20"/>
          <w:szCs w:val="20"/>
        </w:rPr>
        <w:t>.</w:t>
      </w:r>
      <w:r w:rsidR="002C76AC" w:rsidRPr="00AC35D4">
        <w:rPr>
          <w:rFonts w:ascii="Arial" w:eastAsiaTheme="majorHAnsi" w:hAnsi="Arial" w:cs="Arial"/>
          <w:sz w:val="20"/>
          <w:szCs w:val="20"/>
        </w:rPr>
        <w:t xml:space="preserve"> </w:t>
      </w:r>
    </w:p>
    <w:p w14:paraId="3FF737E0" w14:textId="5063049E" w:rsidR="00C342FD" w:rsidRDefault="00C342FD" w:rsidP="00C342FD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C342FD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method</w:t>
      </w:r>
      <w:r w:rsidRPr="00C342FD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 1</w:t>
      </w:r>
    </w:p>
    <w:p w14:paraId="23866C21" w14:textId="384B6890" w:rsidR="00425751" w:rsidRPr="00AC35D4" w:rsidRDefault="00425751" w:rsidP="00D9794A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 xml:space="preserve">Total RNA was extracted using the Trizol reagent (Invitrogen, USA) and reverse transcription using the Evo M-MLV RT Kit with gDNA Clean for qPCR II (AG11711, Accurate Biotechnology HUMAN, China). </w:t>
      </w:r>
    </w:p>
    <w:p w14:paraId="125816E9" w14:textId="64C9337C" w:rsidR="003D20B2" w:rsidRDefault="003D20B2" w:rsidP="003D20B2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3D20B2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2</w:t>
      </w:r>
    </w:p>
    <w:p w14:paraId="59C26827" w14:textId="318D3C89" w:rsidR="00E3608C" w:rsidRPr="00AC35D4" w:rsidRDefault="00E3608C" w:rsidP="00D9794A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 xml:space="preserve">Samples were lysed with RIPA buffer and quantified by BCA assay reagent </w:t>
      </w:r>
      <w:bookmarkStart w:id="0" w:name="_Hlk198586164"/>
      <w:r w:rsidRPr="00AC35D4">
        <w:rPr>
          <w:rFonts w:ascii="Arial" w:eastAsiaTheme="majorHAnsi" w:hAnsi="Arial" w:cs="Arial"/>
          <w:sz w:val="20"/>
          <w:szCs w:val="20"/>
        </w:rPr>
        <w:t>(Beyotime, China)</w:t>
      </w:r>
      <w:bookmarkEnd w:id="0"/>
      <w:r w:rsidRPr="00AC35D4">
        <w:rPr>
          <w:rFonts w:ascii="Arial" w:eastAsiaTheme="majorHAnsi" w:hAnsi="Arial" w:cs="Arial"/>
          <w:sz w:val="20"/>
          <w:szCs w:val="20"/>
        </w:rPr>
        <w:t xml:space="preserve">. Proteins were separated by SDS-PAGE </w:t>
      </w:r>
      <w:bookmarkStart w:id="1" w:name="_Hlk198586194"/>
      <w:r w:rsidRPr="00AC35D4">
        <w:rPr>
          <w:rFonts w:ascii="Arial" w:eastAsiaTheme="majorHAnsi" w:hAnsi="Arial" w:cs="Arial"/>
          <w:sz w:val="20"/>
          <w:szCs w:val="20"/>
        </w:rPr>
        <w:t>(Epizyme Biotech, China)</w:t>
      </w:r>
      <w:bookmarkEnd w:id="1"/>
      <w:r w:rsidRPr="00AC35D4">
        <w:rPr>
          <w:rFonts w:ascii="Arial" w:eastAsiaTheme="majorHAnsi" w:hAnsi="Arial" w:cs="Arial"/>
          <w:sz w:val="20"/>
          <w:szCs w:val="20"/>
        </w:rPr>
        <w:t>, transferred onto PVDF membranes (Millipore, USA), and blocked with 6% skim milk for 2h. The membranes were incubated with following primary antibodies overnight at 4°C: anti-PP2A alpha/beta Rabbit monoclonal (R25422,1:1000, Zen-Bioscience, China), anti-Phospho-PP2A alpha (Tyr307) Rabbit monoclonal (R380708 , 1:1000, Zen-Bioscience, China), anti-E Cadherin Rabbit monoclonal(R22490,1:1000, Zen-Bioscience, China), anti-Vimentin Rabbit monoclonal (R22775,1:1000, Zen-Bioscience, China), anti-GSK3 beta Rabbit monoclonal (R22868,1:1000, Zen-Bioscience, China), anti-Phospho-GSK3 beta</w:t>
      </w:r>
      <w:bookmarkStart w:id="2" w:name="OLE_LINK35"/>
      <w:r w:rsidRPr="00AC35D4">
        <w:rPr>
          <w:rFonts w:ascii="Arial" w:eastAsiaTheme="majorHAnsi" w:hAnsi="Arial" w:cs="Arial"/>
          <w:sz w:val="20"/>
          <w:szCs w:val="20"/>
        </w:rPr>
        <w:t xml:space="preserve"> (Ser9) </w:t>
      </w:r>
      <w:bookmarkEnd w:id="2"/>
      <w:r w:rsidRPr="00AC35D4">
        <w:rPr>
          <w:rFonts w:ascii="Arial" w:eastAsiaTheme="majorHAnsi" w:hAnsi="Arial" w:cs="Arial"/>
          <w:sz w:val="20"/>
          <w:szCs w:val="20"/>
        </w:rPr>
        <w:t xml:space="preserve">Rabbit monoclonal (R22943,1:1000, Zen-Bioscience, China),anti-Wnt3a Rabbit polyclonal (822111,1:1000, Zen-Bioscience, China), anti-Cyclin D1 Rabbit monoclonal (R380999,1:1000, Zen-Bioscience, China),anti-beta Catenin Rabbit monoclonal (R22820,1:1000, Zen-Bioscience, China), anti-Phospho-beta Catenin (Ser33/Ser37) Rabbit monoclonal (R381527,1:1000, Zen-Bioscience, China), anti-GAPDH Rabbit monoclonal (R24404,1:1000, Zen-Bioscience, China), </w:t>
      </w:r>
      <w:r w:rsidRPr="00AC35D4">
        <w:rPr>
          <w:rFonts w:ascii="Arial" w:eastAsia="FangSong" w:hAnsi="Arial" w:cs="Arial"/>
          <w:sz w:val="20"/>
          <w:szCs w:val="20"/>
        </w:rPr>
        <w:t>Anti-beta</w:t>
      </w:r>
      <w:r w:rsidR="002848C7" w:rsidRPr="00AC35D4">
        <w:rPr>
          <w:rFonts w:ascii="Arial" w:eastAsia="FangSong" w:hAnsi="Arial" w:cs="Arial"/>
          <w:sz w:val="20"/>
          <w:szCs w:val="20"/>
        </w:rPr>
        <w:t xml:space="preserve"> </w:t>
      </w:r>
      <w:r w:rsidRPr="00AC35D4">
        <w:rPr>
          <w:rFonts w:ascii="Arial" w:eastAsia="FangSong" w:hAnsi="Arial" w:cs="Arial"/>
          <w:sz w:val="20"/>
          <w:szCs w:val="20"/>
        </w:rPr>
        <w:t>Catenin non-phospho(active)S45(ab305261, 1:1000,abcam,UK).</w:t>
      </w:r>
      <w:r w:rsidR="00AC35D4" w:rsidRPr="00AC35D4">
        <w:rPr>
          <w:rFonts w:ascii="Arial" w:eastAsia="FangSong" w:hAnsi="Arial" w:cs="Arial"/>
          <w:sz w:val="20"/>
          <w:szCs w:val="20"/>
        </w:rPr>
        <w:t xml:space="preserve"> </w:t>
      </w:r>
      <w:r w:rsidRPr="00AC35D4">
        <w:rPr>
          <w:rFonts w:ascii="Arial" w:eastAsia="FangSong" w:hAnsi="Arial" w:cs="Arial"/>
          <w:sz w:val="20"/>
          <w:szCs w:val="20"/>
        </w:rPr>
        <w:t>The following day, the membranes were incubated with HRP</w:t>
      </w:r>
      <w:r w:rsidR="00AC35D4" w:rsidRPr="00AC35D4">
        <w:rPr>
          <w:rFonts w:ascii="Arial" w:eastAsia="FangSong" w:hAnsi="Arial" w:cs="Arial"/>
          <w:sz w:val="20"/>
          <w:szCs w:val="20"/>
        </w:rPr>
        <w:t xml:space="preserve"> </w:t>
      </w:r>
      <w:r w:rsidR="008F595D" w:rsidRPr="00AC35D4">
        <w:rPr>
          <w:rFonts w:ascii="Arial" w:eastAsia="FangSong" w:hAnsi="Arial" w:cs="Arial"/>
          <w:sz w:val="20"/>
          <w:szCs w:val="20"/>
        </w:rPr>
        <w:t>(</w:t>
      </w:r>
      <w:r w:rsidRPr="00AC35D4">
        <w:rPr>
          <w:rFonts w:ascii="Arial" w:eastAsia="FangSong" w:hAnsi="Arial" w:cs="Arial"/>
          <w:sz w:val="20"/>
          <w:szCs w:val="20"/>
        </w:rPr>
        <w:t>Goat Anti-Rabbit IgG H&amp;L</w:t>
      </w:r>
      <w:r w:rsidR="008F595D" w:rsidRPr="00AC35D4">
        <w:rPr>
          <w:rFonts w:ascii="Arial" w:eastAsia="FangSong" w:hAnsi="Arial" w:cs="Arial"/>
          <w:sz w:val="20"/>
          <w:szCs w:val="20"/>
        </w:rPr>
        <w:t>)</w:t>
      </w:r>
      <w:r w:rsidR="00AC35D4" w:rsidRPr="00AC35D4">
        <w:rPr>
          <w:rFonts w:ascii="Arial" w:eastAsia="FangSong" w:hAnsi="Arial" w:cs="Arial"/>
          <w:sz w:val="20"/>
          <w:szCs w:val="20"/>
        </w:rPr>
        <w:t xml:space="preserve"> </w:t>
      </w:r>
      <w:r w:rsidRPr="00AC35D4">
        <w:rPr>
          <w:rFonts w:ascii="Arial" w:eastAsia="FangSong" w:hAnsi="Arial" w:cs="Arial"/>
          <w:sz w:val="20"/>
          <w:szCs w:val="20"/>
        </w:rPr>
        <w:t>(511203</w:t>
      </w:r>
      <w:r w:rsidR="009522AF" w:rsidRPr="00AC35D4">
        <w:rPr>
          <w:rFonts w:ascii="Arial" w:eastAsia="FangSong" w:hAnsi="Arial" w:cs="Arial"/>
          <w:sz w:val="20"/>
          <w:szCs w:val="20"/>
        </w:rPr>
        <w:t>,</w:t>
      </w:r>
      <w:r w:rsidRPr="00AC35D4">
        <w:rPr>
          <w:rFonts w:ascii="Arial" w:eastAsia="FangSong" w:hAnsi="Arial" w:cs="Arial"/>
          <w:sz w:val="20"/>
          <w:szCs w:val="20"/>
        </w:rPr>
        <w:t xml:space="preserve">1:4000; Zen-Bioscience), and then visualized by the ECL system. </w:t>
      </w:r>
    </w:p>
    <w:p w14:paraId="5678B82B" w14:textId="0C2DEC64" w:rsidR="00E7751A" w:rsidRPr="00AC35D4" w:rsidRDefault="00C66E0B" w:rsidP="00D9794A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bookmarkStart w:id="3" w:name="_Hlk169205491"/>
      <w:bookmarkStart w:id="4" w:name="_Hlk210038949"/>
      <w:r w:rsidRPr="00C66E0B">
        <w:rPr>
          <w:rFonts w:ascii="Arial" w:eastAsiaTheme="majorHAnsi" w:hAnsi="Arial" w:cs="Arial" w:hint="eastAsia"/>
          <w:b/>
          <w:bCs/>
          <w:sz w:val="24"/>
          <w:szCs w:val="24"/>
        </w:rPr>
        <w:lastRenderedPageBreak/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3</w:t>
      </w:r>
      <w:r w:rsidR="00E7751A" w:rsidRPr="00AC35D4">
        <w:rPr>
          <w:rFonts w:ascii="Arial" w:eastAsiaTheme="majorHAnsi" w:hAnsi="Arial" w:cs="Arial"/>
          <w:b/>
          <w:bCs/>
          <w:sz w:val="24"/>
          <w:szCs w:val="24"/>
        </w:rPr>
        <w:t xml:space="preserve"> </w:t>
      </w:r>
      <w:bookmarkStart w:id="5" w:name="_Hlk168917192"/>
      <w:bookmarkEnd w:id="3"/>
    </w:p>
    <w:bookmarkEnd w:id="4"/>
    <w:bookmarkEnd w:id="5"/>
    <w:p w14:paraId="703E3CA2" w14:textId="58A3B29B" w:rsidR="00E7751A" w:rsidRPr="00AC35D4" w:rsidRDefault="00E7751A" w:rsidP="00D9794A">
      <w:pPr>
        <w:spacing w:line="360" w:lineRule="auto"/>
        <w:ind w:firstLineChars="200" w:firstLine="400"/>
        <w:rPr>
          <w:rFonts w:ascii="Arial" w:eastAsia="FangSong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 xml:space="preserve">Tissue samples </w:t>
      </w:r>
      <w:bookmarkStart w:id="6" w:name="_Hlk168851155"/>
      <w:r w:rsidRPr="00AC35D4">
        <w:rPr>
          <w:rFonts w:ascii="Arial" w:eastAsiaTheme="majorHAnsi" w:hAnsi="Arial" w:cs="Arial"/>
          <w:sz w:val="20"/>
          <w:szCs w:val="20"/>
        </w:rPr>
        <w:t>were fixed in 4% paraformaldehyde</w:t>
      </w:r>
      <w:bookmarkEnd w:id="6"/>
      <w:r w:rsidRPr="00AC35D4">
        <w:rPr>
          <w:rFonts w:ascii="Arial" w:eastAsiaTheme="majorHAnsi" w:hAnsi="Arial" w:cs="Arial"/>
          <w:sz w:val="20"/>
          <w:szCs w:val="20"/>
        </w:rPr>
        <w:t xml:space="preserve"> for 24 h, followed by dehydration, embedding in paraffin, and subsequent </w:t>
      </w:r>
      <w:bookmarkStart w:id="7" w:name="_Hlk185976901"/>
      <w:r w:rsidRPr="00AC35D4">
        <w:rPr>
          <w:rFonts w:ascii="Arial" w:eastAsiaTheme="majorHAnsi" w:hAnsi="Arial" w:cs="Arial"/>
          <w:sz w:val="20"/>
          <w:szCs w:val="20"/>
        </w:rPr>
        <w:t>section</w:t>
      </w:r>
      <w:bookmarkEnd w:id="7"/>
      <w:r w:rsidRPr="00AC35D4">
        <w:rPr>
          <w:rFonts w:ascii="Arial" w:eastAsiaTheme="majorHAnsi" w:hAnsi="Arial" w:cs="Arial"/>
          <w:sz w:val="20"/>
          <w:szCs w:val="20"/>
        </w:rPr>
        <w:t xml:space="preserve">ing into 5μm thick slides. Antigen was retrieved by citric acid buffer, and endogenous peroxidase activity was inhibited. Sections were permeabilized with Triton X-100 (Beyotime, China) , subsequently blocked with 5% BSA, </w:t>
      </w:r>
      <w:bookmarkStart w:id="8" w:name="_Hlk185977908"/>
      <w:r w:rsidRPr="00AC35D4">
        <w:rPr>
          <w:rFonts w:ascii="Arial" w:eastAsiaTheme="majorHAnsi" w:hAnsi="Arial" w:cs="Arial"/>
          <w:sz w:val="20"/>
          <w:szCs w:val="20"/>
        </w:rPr>
        <w:t>and then incubated overnight at 4°C in a moist chamber with following primary antibodies</w:t>
      </w:r>
      <w:bookmarkEnd w:id="8"/>
      <w:r w:rsidRPr="00AC35D4">
        <w:rPr>
          <w:rFonts w:ascii="Arial" w:eastAsiaTheme="majorHAnsi" w:hAnsi="Arial" w:cs="Arial"/>
          <w:sz w:val="20"/>
          <w:szCs w:val="20"/>
        </w:rPr>
        <w:t xml:space="preserve">: anti-PP2A alpha/beta Rabbit monoclonal (R25422;1:100, Zen-Bioscience, China), anti-E Cadherin Rabbit monoclonal (R22490;1:100, Zen-Bioscience, China), anti-Vimentin Rabbit monoclonal (R22775;1:100, Zen-Bioscience, China), anti-GSK3 beta Rabbit monoclonal (R22868;1:100, Zen-Bioscience, China), anti-Wnt3A Rabbit polyclonal (AF8352;1:100, Beyotime, China), anti-beta Catenin Rabbit monoclonal (R22820;1:100, Zen-Bioscience, China). On the following day, the sections were </w:t>
      </w:r>
      <w:bookmarkStart w:id="9" w:name="_Hlk168867226"/>
      <w:r w:rsidR="0026101A" w:rsidRPr="00AC35D4">
        <w:rPr>
          <w:rFonts w:ascii="Arial" w:eastAsia="FangSong" w:hAnsi="Arial" w:cs="Arial"/>
          <w:sz w:val="20"/>
          <w:szCs w:val="20"/>
        </w:rPr>
        <w:t>washed with</w:t>
      </w:r>
      <w:r w:rsidRPr="00AC35D4">
        <w:rPr>
          <w:rFonts w:ascii="Arial" w:eastAsia="FangSong" w:hAnsi="Arial" w:cs="Arial"/>
          <w:sz w:val="20"/>
          <w:szCs w:val="20"/>
        </w:rPr>
        <w:t xml:space="preserve"> PBST for 3x 5 min, </w:t>
      </w:r>
      <w:bookmarkStart w:id="10" w:name="_Hlk168866904"/>
      <w:bookmarkEnd w:id="9"/>
      <w:r w:rsidRPr="00AC35D4">
        <w:rPr>
          <w:rFonts w:ascii="Arial" w:eastAsia="FangSong" w:hAnsi="Arial" w:cs="Arial"/>
          <w:sz w:val="20"/>
          <w:szCs w:val="20"/>
        </w:rPr>
        <w:t xml:space="preserve">incubated with secondary </w:t>
      </w:r>
      <w:r w:rsidR="0026101A" w:rsidRPr="00AC35D4">
        <w:rPr>
          <w:rFonts w:ascii="Arial" w:eastAsia="FangSong" w:hAnsi="Arial" w:cs="Arial"/>
          <w:sz w:val="20"/>
          <w:szCs w:val="20"/>
        </w:rPr>
        <w:t>antibody (</w:t>
      </w:r>
      <w:bookmarkStart w:id="11" w:name="_Hlk210209853"/>
      <w:r w:rsidRPr="00AC35D4">
        <w:rPr>
          <w:rFonts w:ascii="Arial" w:eastAsia="FangSong" w:hAnsi="Arial" w:cs="Arial"/>
          <w:sz w:val="20"/>
          <w:szCs w:val="20"/>
        </w:rPr>
        <w:t>511203; Goat Anti-Rabbit IgG H&amp;L</w:t>
      </w:r>
      <w:r w:rsidR="0026101A" w:rsidRPr="00AC35D4">
        <w:rPr>
          <w:rFonts w:ascii="Arial" w:eastAsia="FangSong" w:hAnsi="Arial" w:cs="Arial"/>
          <w:sz w:val="20"/>
          <w:szCs w:val="20"/>
        </w:rPr>
        <w:t>(</w:t>
      </w:r>
      <w:r w:rsidRPr="00AC35D4">
        <w:rPr>
          <w:rFonts w:ascii="Arial" w:eastAsia="FangSong" w:hAnsi="Arial" w:cs="Arial"/>
          <w:sz w:val="20"/>
          <w:szCs w:val="20"/>
        </w:rPr>
        <w:t>HRP</w:t>
      </w:r>
      <w:r w:rsidR="0026101A" w:rsidRPr="00AC35D4">
        <w:rPr>
          <w:rFonts w:ascii="Arial" w:eastAsia="FangSong" w:hAnsi="Arial" w:cs="Arial"/>
          <w:sz w:val="20"/>
          <w:szCs w:val="20"/>
        </w:rPr>
        <w:t>)</w:t>
      </w:r>
      <w:r w:rsidRPr="00AC35D4">
        <w:rPr>
          <w:rFonts w:ascii="Arial" w:eastAsia="FangSong" w:hAnsi="Arial" w:cs="Arial"/>
          <w:sz w:val="20"/>
          <w:szCs w:val="20"/>
        </w:rPr>
        <w:t xml:space="preserve">,1:1000, Zen-Bioscience, </w:t>
      </w:r>
      <w:r w:rsidR="0026101A" w:rsidRPr="00AC35D4">
        <w:rPr>
          <w:rFonts w:ascii="Arial" w:eastAsia="FangSong" w:hAnsi="Arial" w:cs="Arial"/>
          <w:sz w:val="20"/>
          <w:szCs w:val="20"/>
        </w:rPr>
        <w:t xml:space="preserve">China) </w:t>
      </w:r>
      <w:bookmarkEnd w:id="11"/>
      <w:r w:rsidR="0026101A" w:rsidRPr="00AC35D4">
        <w:rPr>
          <w:rFonts w:ascii="Arial" w:eastAsia="FangSong" w:hAnsi="Arial" w:cs="Arial"/>
          <w:sz w:val="20"/>
          <w:szCs w:val="20"/>
        </w:rPr>
        <w:t>for</w:t>
      </w:r>
      <w:r w:rsidRPr="00AC35D4">
        <w:rPr>
          <w:rFonts w:ascii="Arial" w:eastAsia="FangSong" w:hAnsi="Arial" w:cs="Arial"/>
          <w:sz w:val="20"/>
          <w:szCs w:val="20"/>
        </w:rPr>
        <w:t xml:space="preserve"> 1 h</w:t>
      </w:r>
      <w:bookmarkEnd w:id="10"/>
      <w:r w:rsidRPr="00AC35D4">
        <w:rPr>
          <w:rFonts w:ascii="Arial" w:eastAsia="FangSong" w:hAnsi="Arial" w:cs="Arial"/>
          <w:sz w:val="20"/>
          <w:szCs w:val="20"/>
        </w:rPr>
        <w:t xml:space="preserve">, followed by incubation with DAB. </w:t>
      </w:r>
    </w:p>
    <w:p w14:paraId="34122BD3" w14:textId="6AD73C2E" w:rsidR="00C66E0B" w:rsidRDefault="00C66E0B" w:rsidP="00A52A7B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C66E0B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method </w:t>
      </w:r>
      <w:r w:rsidR="005F0504">
        <w:rPr>
          <w:rFonts w:ascii="Arial" w:eastAsiaTheme="majorHAnsi" w:hAnsi="Arial" w:cs="Arial" w:hint="eastAsia"/>
          <w:b/>
          <w:bCs/>
          <w:sz w:val="24"/>
          <w:szCs w:val="24"/>
        </w:rPr>
        <w:t>4</w:t>
      </w:r>
      <w:r w:rsidRPr="00C66E0B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 </w:t>
      </w:r>
    </w:p>
    <w:p w14:paraId="56417DEF" w14:textId="259DDC1E" w:rsidR="00E7751A" w:rsidRPr="00AC35D4" w:rsidRDefault="00E7751A" w:rsidP="00D9794A">
      <w:pPr>
        <w:spacing w:line="360" w:lineRule="auto"/>
        <w:ind w:firstLineChars="200" w:firstLine="400"/>
        <w:rPr>
          <w:rFonts w:ascii="Arial" w:eastAsia="FangSong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 xml:space="preserve">Cells Climbing films were fixed in 4% paraformaldehyde for 15 min, followed by permeabilization with Triton X-100(Beyotime, China). Subsequently, the films were washed with phosphate-buffered saline (PBS) for 3x 3 min, blocked using Quick Block™ Blocking Buffer </w:t>
      </w:r>
      <w:bookmarkStart w:id="12" w:name="_Hlk190200225"/>
      <w:r w:rsidRPr="00AC35D4">
        <w:rPr>
          <w:rFonts w:ascii="Arial" w:eastAsiaTheme="majorHAnsi" w:hAnsi="Arial" w:cs="Arial"/>
          <w:sz w:val="20"/>
          <w:szCs w:val="20"/>
        </w:rPr>
        <w:t xml:space="preserve">(Beyotime, China) </w:t>
      </w:r>
      <w:bookmarkEnd w:id="12"/>
      <w:r w:rsidRPr="00AC35D4">
        <w:rPr>
          <w:rFonts w:ascii="Arial" w:eastAsiaTheme="majorHAnsi" w:hAnsi="Arial" w:cs="Arial"/>
          <w:sz w:val="20"/>
          <w:szCs w:val="20"/>
        </w:rPr>
        <w:t xml:space="preserve">for 60 min at room temperature, and then incubated overnight at 4°C in a moist chamber with primary antibodies against E-cadherin, vimentin, as outlined in the immunohistochemistry protocol.  Climbing films were incubated with secondary antibodies [550043; </w:t>
      </w:r>
      <w:r w:rsidR="00472E9A" w:rsidRPr="00AC35D4">
        <w:rPr>
          <w:rFonts w:ascii="Arial" w:eastAsiaTheme="majorHAnsi" w:hAnsi="Arial" w:cs="Arial"/>
          <w:sz w:val="20"/>
          <w:szCs w:val="20"/>
        </w:rPr>
        <w:t>1:500, Goat</w:t>
      </w:r>
      <w:r w:rsidRPr="00AC35D4">
        <w:rPr>
          <w:rFonts w:ascii="Arial" w:eastAsiaTheme="majorHAnsi" w:hAnsi="Arial" w:cs="Arial"/>
          <w:sz w:val="20"/>
          <w:szCs w:val="20"/>
        </w:rPr>
        <w:t xml:space="preserve"> Anti-Rabbit IgG H&amp;L (AF594</w:t>
      </w:r>
      <w:r w:rsidR="00472E9A" w:rsidRPr="00AC35D4">
        <w:rPr>
          <w:rFonts w:ascii="Arial" w:eastAsiaTheme="majorHAnsi" w:hAnsi="Arial" w:cs="Arial"/>
          <w:sz w:val="20"/>
          <w:szCs w:val="20"/>
        </w:rPr>
        <w:t>),</w:t>
      </w:r>
      <w:r w:rsidRPr="00AC35D4">
        <w:rPr>
          <w:rFonts w:ascii="Arial" w:eastAsiaTheme="majorHAnsi" w:hAnsi="Arial" w:cs="Arial"/>
          <w:sz w:val="20"/>
          <w:szCs w:val="20"/>
        </w:rPr>
        <w:t xml:space="preserve"> or 550037; 1:</w:t>
      </w:r>
      <w:r w:rsidR="00472E9A" w:rsidRPr="00AC35D4">
        <w:rPr>
          <w:rFonts w:ascii="Arial" w:eastAsiaTheme="majorHAnsi" w:hAnsi="Arial" w:cs="Arial"/>
          <w:sz w:val="20"/>
          <w:szCs w:val="20"/>
        </w:rPr>
        <w:t xml:space="preserve">500, </w:t>
      </w:r>
      <w:bookmarkStart w:id="13" w:name="OLE_LINK38"/>
      <w:r w:rsidR="00472E9A" w:rsidRPr="00AC35D4">
        <w:rPr>
          <w:rFonts w:ascii="Arial" w:eastAsiaTheme="majorHAnsi" w:hAnsi="Arial" w:cs="Arial"/>
          <w:sz w:val="20"/>
          <w:szCs w:val="20"/>
        </w:rPr>
        <w:t>Goat</w:t>
      </w:r>
      <w:r w:rsidRPr="00AC35D4">
        <w:rPr>
          <w:rFonts w:ascii="Arial" w:eastAsiaTheme="majorHAnsi" w:hAnsi="Arial" w:cs="Arial"/>
          <w:sz w:val="20"/>
          <w:szCs w:val="20"/>
        </w:rPr>
        <w:t xml:space="preserve"> Anti-Rabbit IgG H&amp;L (AF488)</w:t>
      </w:r>
      <w:bookmarkEnd w:id="13"/>
      <w:r w:rsidRPr="00AC35D4">
        <w:rPr>
          <w:rFonts w:ascii="Arial" w:eastAsiaTheme="majorHAnsi" w:hAnsi="Arial" w:cs="Arial"/>
          <w:sz w:val="20"/>
          <w:szCs w:val="20"/>
        </w:rPr>
        <w:t xml:space="preserve">, Zen-Bioscience, </w:t>
      </w:r>
      <w:r w:rsidR="00472E9A" w:rsidRPr="00AC35D4">
        <w:rPr>
          <w:rFonts w:ascii="Arial" w:eastAsia="FangSong" w:hAnsi="Arial" w:cs="Arial"/>
          <w:sz w:val="20"/>
          <w:szCs w:val="20"/>
        </w:rPr>
        <w:t>China] for</w:t>
      </w:r>
      <w:r w:rsidRPr="00AC35D4">
        <w:rPr>
          <w:rFonts w:ascii="Arial" w:eastAsia="FangSong" w:hAnsi="Arial" w:cs="Arial"/>
          <w:sz w:val="20"/>
          <w:szCs w:val="20"/>
        </w:rPr>
        <w:t xml:space="preserve"> 1 hour, washed with PBST for 3x 5 min, and counterstained with </w:t>
      </w:r>
      <w:r w:rsidR="00472E9A" w:rsidRPr="00AC35D4">
        <w:rPr>
          <w:rFonts w:ascii="Arial" w:eastAsia="FangSong" w:hAnsi="Arial" w:cs="Arial"/>
          <w:sz w:val="20"/>
          <w:szCs w:val="20"/>
        </w:rPr>
        <w:t>DAPI (</w:t>
      </w:r>
      <w:r w:rsidRPr="00AC35D4">
        <w:rPr>
          <w:rFonts w:ascii="Arial" w:eastAsia="FangSong" w:hAnsi="Arial" w:cs="Arial"/>
          <w:sz w:val="20"/>
          <w:szCs w:val="20"/>
        </w:rPr>
        <w:t>Beyotime, China</w:t>
      </w:r>
      <w:r w:rsidR="0026101A" w:rsidRPr="00AC35D4">
        <w:rPr>
          <w:rFonts w:ascii="Arial" w:eastAsia="FangSong" w:hAnsi="Arial" w:cs="Arial"/>
          <w:sz w:val="20"/>
          <w:szCs w:val="20"/>
        </w:rPr>
        <w:t>)</w:t>
      </w:r>
      <w:r w:rsidRPr="00AC35D4">
        <w:rPr>
          <w:rFonts w:ascii="Arial" w:eastAsia="FangSong" w:hAnsi="Arial" w:cs="Arial"/>
          <w:sz w:val="20"/>
          <w:szCs w:val="20"/>
        </w:rPr>
        <w:t>.</w:t>
      </w:r>
    </w:p>
    <w:p w14:paraId="35C2F73B" w14:textId="18601A1B" w:rsidR="00B62D22" w:rsidRDefault="00B62D22" w:rsidP="00B62D22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B62D22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5</w:t>
      </w:r>
    </w:p>
    <w:p w14:paraId="64C9AD0E" w14:textId="1267DE2C" w:rsidR="00E7751A" w:rsidRPr="000F751F" w:rsidRDefault="00E7751A" w:rsidP="00B62D22">
      <w:pPr>
        <w:spacing w:line="360" w:lineRule="auto"/>
        <w:ind w:firstLineChars="150" w:firstLine="300"/>
        <w:rPr>
          <w:rFonts w:ascii="Arial" w:eastAsiaTheme="majorHAnsi" w:hAnsi="Arial" w:cs="Arial"/>
          <w:sz w:val="20"/>
          <w:szCs w:val="20"/>
        </w:rPr>
      </w:pPr>
      <w:r w:rsidRPr="000F751F">
        <w:rPr>
          <w:rFonts w:ascii="Arial" w:eastAsiaTheme="majorHAnsi" w:hAnsi="Arial" w:cs="Arial"/>
          <w:sz w:val="20"/>
          <w:szCs w:val="20"/>
        </w:rPr>
        <w:t>Monolayer primary human nasal polyp epithelial cells were cultured with complete medium containing 90% high glucose DMEM, 10% fetal bovine serum (FBS), and 1% Penicillin-Streptomycin Solution (Pricella, China), maintained at 37 °C in a 5% CO2 incubator. Upon reaching approximately 80% confluence, the cells were treated with 4 µM /L of LB-100 (</w:t>
      </w:r>
      <w:bookmarkStart w:id="14" w:name="_Hlk198586572"/>
      <w:r w:rsidRPr="000F751F">
        <w:rPr>
          <w:rFonts w:ascii="Arial" w:eastAsiaTheme="majorHAnsi" w:hAnsi="Arial" w:cs="Arial"/>
          <w:sz w:val="20"/>
          <w:szCs w:val="20"/>
        </w:rPr>
        <w:t>SF1082-10Mm, Beyotime, China</w:t>
      </w:r>
      <w:bookmarkEnd w:id="14"/>
      <w:r w:rsidRPr="000F751F">
        <w:rPr>
          <w:rFonts w:ascii="Arial" w:eastAsiaTheme="majorHAnsi" w:hAnsi="Arial" w:cs="Arial"/>
          <w:sz w:val="20"/>
          <w:szCs w:val="20"/>
        </w:rPr>
        <w:t xml:space="preserve">) or not as control for 48 h. </w:t>
      </w:r>
    </w:p>
    <w:p w14:paraId="28218957" w14:textId="438EF32B" w:rsidR="00F27F8B" w:rsidRDefault="00F27F8B" w:rsidP="00F27F8B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r w:rsidRPr="00F27F8B">
        <w:rPr>
          <w:rFonts w:ascii="Arial" w:eastAsiaTheme="majorHAnsi" w:hAnsi="Arial" w:cs="Arial" w:hint="eastAsia"/>
          <w:b/>
          <w:bCs/>
          <w:sz w:val="24"/>
          <w:szCs w:val="24"/>
        </w:rPr>
        <w:lastRenderedPageBreak/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6</w:t>
      </w:r>
    </w:p>
    <w:p w14:paraId="455F0972" w14:textId="45F376CE" w:rsidR="00E7751A" w:rsidRPr="00AC35D4" w:rsidRDefault="00E7751A" w:rsidP="00D9794A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>Human bronchial epithelial cell line BEAS-2B</w:t>
      </w:r>
      <w:bookmarkStart w:id="15" w:name="_Hlk198586642"/>
      <w:r w:rsidRPr="00AC35D4">
        <w:rPr>
          <w:rFonts w:ascii="Arial" w:eastAsiaTheme="majorHAnsi" w:hAnsi="Arial" w:cs="Arial"/>
          <w:sz w:val="20"/>
          <w:szCs w:val="20"/>
        </w:rPr>
        <w:t xml:space="preserve"> (Pricella, China) </w:t>
      </w:r>
      <w:bookmarkEnd w:id="15"/>
      <w:r w:rsidRPr="00AC35D4">
        <w:rPr>
          <w:rFonts w:ascii="Arial" w:eastAsiaTheme="majorHAnsi" w:hAnsi="Arial" w:cs="Arial"/>
          <w:sz w:val="20"/>
          <w:szCs w:val="20"/>
        </w:rPr>
        <w:t xml:space="preserve">was preserved at -80°C, recovered. After 2 generations, the third generation was seeded in 10 cm culture dish and cultured with complete medium as previously described. After reaching about 80% confluence, BEAS-2B cells were stimulated with </w:t>
      </w:r>
      <w:bookmarkStart w:id="16" w:name="_Hlk196684971"/>
      <w:r w:rsidRPr="00AC35D4">
        <w:rPr>
          <w:rFonts w:ascii="Arial" w:eastAsiaTheme="majorHAnsi" w:hAnsi="Arial" w:cs="Arial"/>
          <w:sz w:val="20"/>
          <w:szCs w:val="20"/>
        </w:rPr>
        <w:t>400 ng/ml</w:t>
      </w:r>
      <w:bookmarkEnd w:id="16"/>
      <w:r w:rsidRPr="00AC35D4">
        <w:rPr>
          <w:rFonts w:ascii="Arial" w:eastAsiaTheme="majorHAnsi" w:hAnsi="Arial" w:cs="Arial"/>
          <w:sz w:val="20"/>
          <w:szCs w:val="20"/>
        </w:rPr>
        <w:t xml:space="preserve"> of rhWNT3A </w:t>
      </w:r>
      <w:bookmarkStart w:id="17" w:name="_Hlk198586691"/>
      <w:r w:rsidRPr="00AC35D4">
        <w:rPr>
          <w:rFonts w:ascii="Arial" w:eastAsiaTheme="majorHAnsi" w:hAnsi="Arial" w:cs="Arial"/>
          <w:sz w:val="20"/>
          <w:szCs w:val="20"/>
        </w:rPr>
        <w:t>(</w:t>
      </w:r>
      <w:r w:rsidR="009F67B7" w:rsidRPr="00AC35D4">
        <w:rPr>
          <w:rFonts w:ascii="Arial" w:eastAsiaTheme="majorHAnsi" w:hAnsi="Arial" w:cs="Arial"/>
          <w:sz w:val="20"/>
          <w:szCs w:val="20"/>
        </w:rPr>
        <w:t>MedChemExpress</w:t>
      </w:r>
      <w:r w:rsidRPr="00AC35D4">
        <w:rPr>
          <w:rFonts w:ascii="Arial" w:eastAsiaTheme="majorHAnsi" w:hAnsi="Arial" w:cs="Arial"/>
          <w:sz w:val="20"/>
          <w:szCs w:val="20"/>
        </w:rPr>
        <w:t xml:space="preserve">, </w:t>
      </w:r>
      <w:r w:rsidR="009F67B7" w:rsidRPr="00AC35D4">
        <w:rPr>
          <w:rFonts w:ascii="Arial" w:eastAsiaTheme="majorHAnsi" w:hAnsi="Arial" w:cs="Arial"/>
          <w:sz w:val="20"/>
          <w:szCs w:val="20"/>
        </w:rPr>
        <w:t>USA</w:t>
      </w:r>
      <w:r w:rsidR="00F266FC" w:rsidRPr="00AC35D4">
        <w:rPr>
          <w:rFonts w:ascii="Arial" w:eastAsiaTheme="majorHAnsi" w:hAnsi="Arial" w:cs="Arial"/>
          <w:sz w:val="20"/>
          <w:szCs w:val="20"/>
        </w:rPr>
        <w:t>, HY-P70453A</w:t>
      </w:r>
      <w:r w:rsidRPr="00AC35D4">
        <w:rPr>
          <w:rFonts w:ascii="Arial" w:eastAsiaTheme="majorHAnsi" w:hAnsi="Arial" w:cs="Arial"/>
          <w:sz w:val="20"/>
          <w:szCs w:val="20"/>
        </w:rPr>
        <w:t xml:space="preserve">) </w:t>
      </w:r>
      <w:bookmarkEnd w:id="17"/>
      <w:r w:rsidRPr="00AC35D4">
        <w:rPr>
          <w:rFonts w:ascii="Arial" w:eastAsiaTheme="majorHAnsi" w:hAnsi="Arial" w:cs="Arial"/>
          <w:sz w:val="20"/>
          <w:szCs w:val="20"/>
        </w:rPr>
        <w:t xml:space="preserve">to establish the Wnt- induced EMT group. Additionally, a combination treatment of </w:t>
      </w:r>
      <w:bookmarkStart w:id="18" w:name="OLE_LINK34"/>
      <w:r w:rsidRPr="00AC35D4">
        <w:rPr>
          <w:rFonts w:ascii="Arial" w:eastAsiaTheme="majorHAnsi" w:hAnsi="Arial" w:cs="Arial"/>
          <w:sz w:val="20"/>
          <w:szCs w:val="20"/>
        </w:rPr>
        <w:t xml:space="preserve">400 ng/ml </w:t>
      </w:r>
      <w:bookmarkEnd w:id="18"/>
      <w:r w:rsidRPr="00AC35D4">
        <w:rPr>
          <w:rFonts w:ascii="Arial" w:eastAsiaTheme="majorHAnsi" w:hAnsi="Arial" w:cs="Arial"/>
          <w:sz w:val="20"/>
          <w:szCs w:val="20"/>
        </w:rPr>
        <w:t xml:space="preserve">of rhWNT3A and </w:t>
      </w:r>
      <w:bookmarkStart w:id="19" w:name="_Hlk196685054"/>
      <w:r w:rsidRPr="00AC35D4">
        <w:rPr>
          <w:rFonts w:ascii="Arial" w:eastAsiaTheme="majorHAnsi" w:hAnsi="Arial" w:cs="Arial"/>
          <w:sz w:val="20"/>
          <w:szCs w:val="20"/>
        </w:rPr>
        <w:t>4</w:t>
      </w:r>
      <w:bookmarkStart w:id="20" w:name="OLE_LINK1"/>
      <w:r w:rsidRPr="00AC35D4">
        <w:rPr>
          <w:rFonts w:ascii="Arial" w:eastAsiaTheme="majorHAnsi" w:hAnsi="Arial" w:cs="Arial"/>
          <w:sz w:val="20"/>
          <w:szCs w:val="20"/>
        </w:rPr>
        <w:t xml:space="preserve"> µ</w:t>
      </w:r>
      <w:bookmarkEnd w:id="20"/>
      <w:r w:rsidRPr="00AC35D4">
        <w:rPr>
          <w:rFonts w:ascii="Arial" w:eastAsiaTheme="majorHAnsi" w:hAnsi="Arial" w:cs="Arial"/>
          <w:sz w:val="20"/>
          <w:szCs w:val="20"/>
        </w:rPr>
        <w:t>M/L</w:t>
      </w:r>
      <w:bookmarkEnd w:id="19"/>
      <w:r w:rsidRPr="00AC35D4">
        <w:rPr>
          <w:rFonts w:ascii="Arial" w:eastAsiaTheme="majorHAnsi" w:hAnsi="Arial" w:cs="Arial"/>
          <w:sz w:val="20"/>
          <w:szCs w:val="20"/>
        </w:rPr>
        <w:t xml:space="preserve"> of LB-100 was administered to create the PP2A inhibition group. The control group was cultured with complete medium only.</w:t>
      </w:r>
    </w:p>
    <w:p w14:paraId="409D5FEF" w14:textId="42B26434" w:rsidR="00F266FC" w:rsidRPr="00AC35D4" w:rsidRDefault="0080225F" w:rsidP="00F266FC">
      <w:pPr>
        <w:spacing w:line="360" w:lineRule="auto"/>
        <w:rPr>
          <w:rFonts w:ascii="Arial" w:eastAsiaTheme="majorHAnsi" w:hAnsi="Arial" w:cs="Arial"/>
          <w:b/>
          <w:bCs/>
          <w:sz w:val="24"/>
          <w:szCs w:val="24"/>
        </w:rPr>
      </w:pPr>
      <w:bookmarkStart w:id="21" w:name="_Hlk210208927"/>
      <w:r w:rsidRPr="0080225F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7</w:t>
      </w:r>
      <w:r w:rsidR="00F266FC" w:rsidRPr="00AC35D4">
        <w:rPr>
          <w:rFonts w:ascii="Arial" w:eastAsiaTheme="majorHAnsi" w:hAnsi="Arial" w:cs="Arial"/>
          <w:b/>
          <w:bCs/>
          <w:sz w:val="24"/>
          <w:szCs w:val="24"/>
        </w:rPr>
        <w:t xml:space="preserve"> </w:t>
      </w:r>
    </w:p>
    <w:bookmarkEnd w:id="21"/>
    <w:p w14:paraId="084C2FBF" w14:textId="18917010" w:rsidR="001D7E7F" w:rsidRDefault="00F266FC" w:rsidP="001D7E7F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  <w:r w:rsidRPr="00AC35D4">
        <w:rPr>
          <w:rFonts w:ascii="Arial" w:eastAsiaTheme="majorHAnsi" w:hAnsi="Arial" w:cs="Arial"/>
          <w:sz w:val="20"/>
          <w:szCs w:val="20"/>
        </w:rPr>
        <w:t>The control group and Wnt-induced EMT cell group were established as previously described. Subsequently, BEAS - 2B cells were treated with rhWNT3A (400 ng/ml,</w:t>
      </w:r>
      <w:r w:rsidRPr="00AC35D4">
        <w:rPr>
          <w:rFonts w:ascii="Arial" w:hAnsi="Arial" w:cs="Arial"/>
          <w:sz w:val="20"/>
          <w:szCs w:val="20"/>
        </w:rPr>
        <w:t xml:space="preserve"> </w:t>
      </w:r>
      <w:r w:rsidRPr="00AC35D4">
        <w:rPr>
          <w:rFonts w:ascii="Arial" w:eastAsiaTheme="majorHAnsi" w:hAnsi="Arial" w:cs="Arial"/>
          <w:sz w:val="20"/>
          <w:szCs w:val="20"/>
        </w:rPr>
        <w:t>MedChemExpress, USA, HY-P70453A) and PP2A agonist DT - 0</w:t>
      </w:r>
      <w:r w:rsidR="00AD087D">
        <w:rPr>
          <w:rFonts w:ascii="Arial" w:eastAsiaTheme="majorHAnsi" w:hAnsi="Arial" w:cs="Arial"/>
          <w:sz w:val="20"/>
          <w:szCs w:val="20"/>
        </w:rPr>
        <w:t>61</w:t>
      </w:r>
      <w:r w:rsidRPr="00AC35D4">
        <w:rPr>
          <w:rFonts w:ascii="Arial" w:eastAsiaTheme="majorHAnsi" w:hAnsi="Arial" w:cs="Arial"/>
          <w:sz w:val="20"/>
          <w:szCs w:val="20"/>
        </w:rPr>
        <w:t xml:space="preserve"> (8 µM,</w:t>
      </w:r>
      <w:r w:rsidRPr="00AC35D4">
        <w:rPr>
          <w:rFonts w:ascii="Arial" w:hAnsi="Arial" w:cs="Arial"/>
          <w:sz w:val="20"/>
          <w:szCs w:val="20"/>
        </w:rPr>
        <w:t xml:space="preserve"> </w:t>
      </w:r>
      <w:r w:rsidRPr="00AC35D4">
        <w:rPr>
          <w:rFonts w:ascii="Arial" w:eastAsiaTheme="majorHAnsi" w:hAnsi="Arial" w:cs="Arial"/>
          <w:sz w:val="20"/>
          <w:szCs w:val="20"/>
        </w:rPr>
        <w:t>Selleck,USA,S8774) for 48 h to create a group with PP2A stimulation</w:t>
      </w:r>
      <w:r w:rsidRPr="00AC35D4">
        <w:rPr>
          <w:rFonts w:ascii="Arial" w:eastAsiaTheme="majorHAnsi" w:hAnsi="Arial" w:cs="Arial"/>
          <w:sz w:val="20"/>
          <w:szCs w:val="20"/>
        </w:rPr>
        <w:t>，</w:t>
      </w:r>
      <w:r w:rsidRPr="00AC35D4">
        <w:rPr>
          <w:rFonts w:ascii="Arial" w:eastAsiaTheme="majorHAnsi" w:hAnsi="Arial" w:cs="Arial"/>
          <w:sz w:val="20"/>
          <w:szCs w:val="20"/>
        </w:rPr>
        <w:t>collected cells were used for Western blot analysis and immunofluorescence assays.</w:t>
      </w:r>
    </w:p>
    <w:p w14:paraId="3ACA1B3A" w14:textId="7189E24E" w:rsidR="001D7E7F" w:rsidRPr="001D7E7F" w:rsidRDefault="001D7E7F" w:rsidP="001D7E7F">
      <w:pPr>
        <w:spacing w:line="360" w:lineRule="auto"/>
        <w:rPr>
          <w:rFonts w:ascii="Arial" w:eastAsiaTheme="majorHAnsi" w:hAnsi="Arial" w:cs="Arial"/>
          <w:sz w:val="20"/>
          <w:szCs w:val="20"/>
        </w:rPr>
      </w:pPr>
      <w:r w:rsidRPr="001D7E7F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Supplementary method </w:t>
      </w:r>
      <w:r>
        <w:rPr>
          <w:rFonts w:ascii="Arial" w:eastAsiaTheme="majorHAnsi" w:hAnsi="Arial" w:cs="Arial" w:hint="eastAsia"/>
          <w:b/>
          <w:bCs/>
          <w:sz w:val="24"/>
          <w:szCs w:val="24"/>
        </w:rPr>
        <w:t>8</w:t>
      </w:r>
      <w:r w:rsidRPr="001D7E7F">
        <w:rPr>
          <w:rFonts w:ascii="Arial" w:eastAsiaTheme="majorHAnsi" w:hAnsi="Arial" w:cs="Arial" w:hint="eastAsia"/>
          <w:b/>
          <w:bCs/>
          <w:sz w:val="24"/>
          <w:szCs w:val="24"/>
        </w:rPr>
        <w:t xml:space="preserve"> </w:t>
      </w:r>
    </w:p>
    <w:p w14:paraId="5F263842" w14:textId="39DF6B50" w:rsidR="007E09A8" w:rsidRPr="004F6475" w:rsidRDefault="007E09A8" w:rsidP="004F6475">
      <w:pPr>
        <w:spacing w:line="36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AC35D4">
        <w:rPr>
          <w:rFonts w:ascii="Arial" w:eastAsia="FangSong" w:hAnsi="Arial" w:cs="Arial"/>
          <w:sz w:val="20"/>
          <w:szCs w:val="20"/>
        </w:rPr>
        <w:t>Mice were assigned to three groups(n=5): the control group underwent PBS administration only; NP model group received treatments of ovalbumin (OVA) and staphylococcal enterotoxins B(SEB), mice from intervention group were also treated with LB-100(MB3446-</w:t>
      </w:r>
      <w:r w:rsidR="001E7C22" w:rsidRPr="00AC35D4">
        <w:rPr>
          <w:rFonts w:ascii="Arial" w:eastAsia="FangSong" w:hAnsi="Arial" w:cs="Arial"/>
          <w:sz w:val="20"/>
          <w:szCs w:val="20"/>
        </w:rPr>
        <w:t>1, meilunbio</w:t>
      </w:r>
      <w:r w:rsidRPr="00AC35D4">
        <w:rPr>
          <w:rFonts w:ascii="Arial" w:eastAsia="FangSong" w:hAnsi="Arial" w:cs="Arial"/>
          <w:sz w:val="20"/>
          <w:szCs w:val="20"/>
        </w:rPr>
        <w:t>,</w:t>
      </w:r>
      <w:r w:rsidR="001E7C22" w:rsidRPr="00AC35D4">
        <w:rPr>
          <w:rFonts w:ascii="Arial" w:eastAsia="FangSong" w:hAnsi="Arial" w:cs="Arial"/>
          <w:sz w:val="20"/>
          <w:szCs w:val="20"/>
        </w:rPr>
        <w:t xml:space="preserve"> </w:t>
      </w:r>
      <w:r w:rsidRPr="00AC35D4">
        <w:rPr>
          <w:rFonts w:ascii="Arial" w:eastAsia="FangSong" w:hAnsi="Arial" w:cs="Arial"/>
          <w:sz w:val="20"/>
          <w:szCs w:val="20"/>
        </w:rPr>
        <w:t>China)</w:t>
      </w:r>
      <w:r w:rsidR="001E7C22" w:rsidRPr="00AC35D4">
        <w:rPr>
          <w:rFonts w:ascii="Arial" w:eastAsia="FangSong" w:hAnsi="Arial" w:cs="Arial"/>
          <w:sz w:val="20"/>
          <w:szCs w:val="20"/>
        </w:rPr>
        <w:t>,</w:t>
      </w:r>
      <w:r w:rsidR="00D84982" w:rsidRPr="00AC35D4">
        <w:rPr>
          <w:rFonts w:ascii="Arial" w:eastAsia="FangSong" w:hAnsi="Arial" w:cs="Arial"/>
          <w:sz w:val="20"/>
          <w:szCs w:val="20"/>
        </w:rPr>
        <w:t xml:space="preserve"> </w:t>
      </w:r>
      <w:r w:rsidR="001E7C22" w:rsidRPr="00AC35D4">
        <w:rPr>
          <w:rFonts w:ascii="Arial" w:eastAsia="FangSong" w:hAnsi="Arial" w:cs="Arial"/>
          <w:sz w:val="20"/>
          <w:szCs w:val="20"/>
        </w:rPr>
        <w:t>LB-100 powder was diluted with physiological saline to a concentration of 2mg/ml as the mother liquor and stored at -20 ° C. The mother liquor was diluted to a concentration of 0.15mg/</w:t>
      </w:r>
      <w:r w:rsidR="009522AF" w:rsidRPr="00AC35D4">
        <w:rPr>
          <w:rFonts w:ascii="Arial" w:eastAsia="FangSong" w:hAnsi="Arial" w:cs="Arial"/>
          <w:sz w:val="20"/>
          <w:szCs w:val="20"/>
        </w:rPr>
        <w:t>ml, then</w:t>
      </w:r>
      <w:r w:rsidR="001E7C22" w:rsidRPr="00AC35D4">
        <w:rPr>
          <w:rFonts w:ascii="Arial" w:eastAsia="FangSong" w:hAnsi="Arial" w:cs="Arial"/>
          <w:sz w:val="20"/>
          <w:szCs w:val="20"/>
        </w:rPr>
        <w:t xml:space="preserve"> administer it intraperitoneally to mice</w:t>
      </w:r>
      <w:r w:rsidR="006516C4">
        <w:rPr>
          <w:rFonts w:ascii="Arial" w:eastAsia="FangSong" w:hAnsi="Arial" w:cs="Arial" w:hint="eastAsia"/>
          <w:sz w:val="20"/>
          <w:szCs w:val="20"/>
        </w:rPr>
        <w:t>.</w:t>
      </w:r>
      <w:r w:rsidR="004F6475" w:rsidRPr="004F6475">
        <w:rPr>
          <w:rFonts w:ascii="Arial" w:hAnsi="Arial" w:cs="Arial"/>
          <w:sz w:val="20"/>
          <w:szCs w:val="20"/>
        </w:rPr>
        <w:t xml:space="preserve"> Immunohistochemistry was performed using the following antibodies:</w:t>
      </w:r>
      <w:r w:rsidR="004F6475">
        <w:rPr>
          <w:rFonts w:ascii="Arial" w:hAnsi="Arial" w:cs="Arial" w:hint="eastAsia"/>
          <w:sz w:val="20"/>
          <w:szCs w:val="20"/>
        </w:rPr>
        <w:t xml:space="preserve"> </w:t>
      </w:r>
      <w:r w:rsidR="004F6475" w:rsidRPr="004F6475">
        <w:rPr>
          <w:rFonts w:ascii="Arial" w:hAnsi="Arial" w:cs="Arial"/>
          <w:sz w:val="20"/>
          <w:szCs w:val="20"/>
        </w:rPr>
        <w:t xml:space="preserve">primary antibodies: </w:t>
      </w:r>
      <w:r w:rsidR="004F6475">
        <w:rPr>
          <w:rFonts w:ascii="Arial" w:eastAsia="FangSong" w:hAnsi="Arial" w:cs="Arial" w:hint="eastAsia"/>
          <w:sz w:val="20"/>
          <w:szCs w:val="20"/>
        </w:rPr>
        <w:t>a</w:t>
      </w:r>
      <w:r w:rsidR="004F6475" w:rsidRPr="004F6475">
        <w:rPr>
          <w:rFonts w:ascii="Arial" w:eastAsia="FangSong" w:hAnsi="Arial" w:cs="Arial" w:hint="eastAsia"/>
          <w:sz w:val="20"/>
          <w:szCs w:val="20"/>
        </w:rPr>
        <w:t>nti-E Cadherin Rabbit polyclonal (340341</w:t>
      </w:r>
      <w:r w:rsidR="004F6475" w:rsidRPr="004F6475">
        <w:rPr>
          <w:rFonts w:ascii="Arial" w:eastAsia="FangSong" w:hAnsi="Arial" w:cs="Arial"/>
          <w:sz w:val="20"/>
          <w:szCs w:val="20"/>
        </w:rPr>
        <w:t>; 1:100</w:t>
      </w:r>
      <w:r w:rsidR="004F6475" w:rsidRPr="004F6475">
        <w:rPr>
          <w:rFonts w:ascii="Arial" w:eastAsia="FangSong" w:hAnsi="Arial" w:cs="Arial" w:hint="eastAsia"/>
          <w:sz w:val="20"/>
          <w:szCs w:val="20"/>
        </w:rPr>
        <w:t>, Zen-Bioscience, China), anti-Vimentin Rabbit monoclonal (R22775;1:100, Zen-Bioscience, China)</w:t>
      </w:r>
      <w:r w:rsidR="004F6475">
        <w:rPr>
          <w:rFonts w:ascii="Arial" w:eastAsia="FangSong" w:hAnsi="Arial" w:cs="Arial" w:hint="eastAsia"/>
          <w:sz w:val="20"/>
          <w:szCs w:val="20"/>
        </w:rPr>
        <w:t>;</w:t>
      </w:r>
      <w:r w:rsidR="004F6475" w:rsidRPr="004F6475">
        <w:rPr>
          <w:rFonts w:hint="eastAsia"/>
        </w:rPr>
        <w:t xml:space="preserve"> </w:t>
      </w:r>
      <w:r w:rsidR="004F6475" w:rsidRPr="004F6475">
        <w:rPr>
          <w:rFonts w:ascii="Arial" w:eastAsia="FangSong" w:hAnsi="Arial" w:cs="Arial" w:hint="eastAsia"/>
          <w:sz w:val="20"/>
          <w:szCs w:val="20"/>
        </w:rPr>
        <w:t>Secondary antibody:</w:t>
      </w:r>
      <w:r w:rsidR="004F6475" w:rsidRPr="004F6475">
        <w:rPr>
          <w:rFonts w:hint="eastAsia"/>
        </w:rPr>
        <w:t xml:space="preserve"> </w:t>
      </w:r>
      <w:r w:rsidR="004F6475" w:rsidRPr="004F6475">
        <w:rPr>
          <w:rFonts w:ascii="Arial" w:hAnsi="Arial" w:cs="Arial"/>
          <w:sz w:val="20"/>
          <w:szCs w:val="20"/>
        </w:rPr>
        <w:t>Goat Anti-Rabbit IgG H&amp;L(HRP)(</w:t>
      </w:r>
      <w:r w:rsidR="004F6475" w:rsidRPr="004F6475">
        <w:rPr>
          <w:rFonts w:ascii="Arial" w:eastAsia="FangSong" w:hAnsi="Arial" w:cs="Arial" w:hint="eastAsia"/>
          <w:sz w:val="20"/>
          <w:szCs w:val="20"/>
        </w:rPr>
        <w:t>511203;1:1000, Zen-Bioscience, China)</w:t>
      </w:r>
      <w:r w:rsidR="004F6475">
        <w:rPr>
          <w:rFonts w:ascii="Arial" w:eastAsia="FangSong" w:hAnsi="Arial" w:cs="Arial" w:hint="eastAsia"/>
          <w:sz w:val="20"/>
          <w:szCs w:val="20"/>
        </w:rPr>
        <w:t>.</w:t>
      </w:r>
    </w:p>
    <w:p w14:paraId="15F55940" w14:textId="5D3B206B" w:rsidR="00E3608C" w:rsidRPr="00AC35D4" w:rsidRDefault="00E3608C" w:rsidP="00D9794A">
      <w:pPr>
        <w:spacing w:line="360" w:lineRule="auto"/>
        <w:ind w:firstLineChars="200" w:firstLine="400"/>
        <w:rPr>
          <w:rFonts w:ascii="Arial" w:eastAsiaTheme="majorHAnsi" w:hAnsi="Arial" w:cs="Arial"/>
          <w:sz w:val="20"/>
          <w:szCs w:val="20"/>
        </w:rPr>
      </w:pPr>
    </w:p>
    <w:sectPr w:rsidR="00E3608C" w:rsidRPr="00AC35D4" w:rsidSect="00371BF8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884" w14:textId="77777777" w:rsidR="00304F50" w:rsidRDefault="00304F50" w:rsidP="003F1CB3">
      <w:r>
        <w:separator/>
      </w:r>
    </w:p>
  </w:endnote>
  <w:endnote w:type="continuationSeparator" w:id="0">
    <w:p w14:paraId="35B96EEE" w14:textId="77777777" w:rsidR="00304F50" w:rsidRDefault="00304F50" w:rsidP="003F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3FC2" w14:textId="0B1C7473" w:rsidR="00AD087D" w:rsidRDefault="00AD08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AC04A4" wp14:editId="1E19DA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13388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64C56" w14:textId="69AB20CF" w:rsidR="00AD087D" w:rsidRPr="00AD087D" w:rsidRDefault="00AD087D" w:rsidP="00AD08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8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C04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1064C56" w14:textId="69AB20CF" w:rsidR="00AD087D" w:rsidRPr="00AD087D" w:rsidRDefault="00AD087D" w:rsidP="00AD08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8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432F" w14:textId="6683CB20" w:rsidR="00AD087D" w:rsidRDefault="00AD08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14753F" wp14:editId="593FA639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1043309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B5759" w14:textId="5D82A781" w:rsidR="00AD087D" w:rsidRPr="00AD087D" w:rsidRDefault="00AD087D" w:rsidP="00AD08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8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475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EB5759" w14:textId="5D82A781" w:rsidR="00AD087D" w:rsidRPr="00AD087D" w:rsidRDefault="00AD087D" w:rsidP="00AD08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8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957F" w14:textId="50E91290" w:rsidR="00AD087D" w:rsidRDefault="00AD08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A0C9C" wp14:editId="2BBCF1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53234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413B7" w14:textId="00A54347" w:rsidR="00AD087D" w:rsidRPr="00AD087D" w:rsidRDefault="00AD087D" w:rsidP="00AD08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D08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0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AF413B7" w14:textId="00A54347" w:rsidR="00AD087D" w:rsidRPr="00AD087D" w:rsidRDefault="00AD087D" w:rsidP="00AD08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D08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D848" w14:textId="77777777" w:rsidR="00304F50" w:rsidRDefault="00304F50" w:rsidP="003F1CB3">
      <w:r>
        <w:separator/>
      </w:r>
    </w:p>
  </w:footnote>
  <w:footnote w:type="continuationSeparator" w:id="0">
    <w:p w14:paraId="7FEC57A7" w14:textId="77777777" w:rsidR="00304F50" w:rsidRDefault="00304F50" w:rsidP="003F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6C"/>
    <w:rsid w:val="000731E0"/>
    <w:rsid w:val="000C346A"/>
    <w:rsid w:val="000F0513"/>
    <w:rsid w:val="000F751F"/>
    <w:rsid w:val="00190F14"/>
    <w:rsid w:val="001A7EA6"/>
    <w:rsid w:val="001D7E7F"/>
    <w:rsid w:val="001E229A"/>
    <w:rsid w:val="001E7C22"/>
    <w:rsid w:val="001F03D4"/>
    <w:rsid w:val="00210CC7"/>
    <w:rsid w:val="00236F3E"/>
    <w:rsid w:val="0026101A"/>
    <w:rsid w:val="00261673"/>
    <w:rsid w:val="002848C7"/>
    <w:rsid w:val="00295CE8"/>
    <w:rsid w:val="002C76AC"/>
    <w:rsid w:val="002F39D4"/>
    <w:rsid w:val="00304F50"/>
    <w:rsid w:val="00317B09"/>
    <w:rsid w:val="003367EA"/>
    <w:rsid w:val="00346E81"/>
    <w:rsid w:val="00371BF8"/>
    <w:rsid w:val="0039492D"/>
    <w:rsid w:val="003D20B2"/>
    <w:rsid w:val="003F1CB3"/>
    <w:rsid w:val="00425751"/>
    <w:rsid w:val="00436B9C"/>
    <w:rsid w:val="00472E9A"/>
    <w:rsid w:val="00483B98"/>
    <w:rsid w:val="004B0AB5"/>
    <w:rsid w:val="004F6475"/>
    <w:rsid w:val="00563E25"/>
    <w:rsid w:val="005F0504"/>
    <w:rsid w:val="0060494B"/>
    <w:rsid w:val="00635906"/>
    <w:rsid w:val="006516C4"/>
    <w:rsid w:val="006D2643"/>
    <w:rsid w:val="0074123D"/>
    <w:rsid w:val="00752A15"/>
    <w:rsid w:val="007810E2"/>
    <w:rsid w:val="007814A6"/>
    <w:rsid w:val="007914CC"/>
    <w:rsid w:val="007E09A8"/>
    <w:rsid w:val="0080225F"/>
    <w:rsid w:val="008220F6"/>
    <w:rsid w:val="00834ABC"/>
    <w:rsid w:val="00836EB5"/>
    <w:rsid w:val="00846938"/>
    <w:rsid w:val="008841F5"/>
    <w:rsid w:val="008D6DA8"/>
    <w:rsid w:val="008F595D"/>
    <w:rsid w:val="00910503"/>
    <w:rsid w:val="00943EF1"/>
    <w:rsid w:val="009522AF"/>
    <w:rsid w:val="009615CE"/>
    <w:rsid w:val="00965D8C"/>
    <w:rsid w:val="009A3B22"/>
    <w:rsid w:val="009C1021"/>
    <w:rsid w:val="009F67B7"/>
    <w:rsid w:val="00A52A7B"/>
    <w:rsid w:val="00A71717"/>
    <w:rsid w:val="00AC35D4"/>
    <w:rsid w:val="00AD087D"/>
    <w:rsid w:val="00B51843"/>
    <w:rsid w:val="00B62D22"/>
    <w:rsid w:val="00BA3DBE"/>
    <w:rsid w:val="00C342FD"/>
    <w:rsid w:val="00C44340"/>
    <w:rsid w:val="00C66E0B"/>
    <w:rsid w:val="00CE516C"/>
    <w:rsid w:val="00D22DA2"/>
    <w:rsid w:val="00D252FD"/>
    <w:rsid w:val="00D84982"/>
    <w:rsid w:val="00D90D69"/>
    <w:rsid w:val="00D9794A"/>
    <w:rsid w:val="00E3608C"/>
    <w:rsid w:val="00E662F1"/>
    <w:rsid w:val="00E7751A"/>
    <w:rsid w:val="00EE287D"/>
    <w:rsid w:val="00EE3B2D"/>
    <w:rsid w:val="00F266FC"/>
    <w:rsid w:val="00F27F8B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5426D"/>
  <w15:chartTrackingRefBased/>
  <w15:docId w15:val="{F3CE9AF2-8434-4E70-B269-851E198A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1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1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1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1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1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1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16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16C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16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16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16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16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E5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16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65D8C"/>
  </w:style>
  <w:style w:type="paragraph" w:styleId="Header">
    <w:name w:val="header"/>
    <w:basedOn w:val="Normal"/>
    <w:link w:val="HeaderChar"/>
    <w:uiPriority w:val="99"/>
    <w:unhideWhenUsed/>
    <w:rsid w:val="003F1C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1CB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1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 陈</dc:creator>
  <cp:keywords/>
  <dc:description/>
  <cp:lastModifiedBy>Lee, Boon</cp:lastModifiedBy>
  <cp:revision>2</cp:revision>
  <dcterms:created xsi:type="dcterms:W3CDTF">2025-10-27T18:42:00Z</dcterms:created>
  <dcterms:modified xsi:type="dcterms:W3CDTF">2025-10-27T18:42:00Z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1f4fcca3,7022f40a,77d4c647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2025-10-27T18:42:44Z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be4d8158-3115-4e3f-97a0-48e9bcfbb84a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