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cs="Arial"/>
          <w:b/>
          <w:bCs/>
          <w:sz w:val="36"/>
          <w:szCs w:val="36"/>
        </w:rPr>
      </w:pPr>
      <w:r>
        <w:rPr>
          <w:rFonts w:hint="default" w:ascii="Arial" w:hAnsi="Arial" w:cs="Arial"/>
          <w:b/>
          <w:bCs/>
          <w:sz w:val="36"/>
          <w:szCs w:val="36"/>
        </w:rPr>
        <w:t>Supplementary Information</w:t>
      </w:r>
    </w:p>
    <w:p>
      <w:pPr>
        <w:widowControl/>
        <w:tabs>
          <w:tab w:val="center" w:pos="4879"/>
          <w:tab w:val="left" w:pos="7255"/>
          <w:tab w:val="right" w:pos="8259"/>
        </w:tabs>
        <w:snapToGrid w:val="0"/>
        <w:spacing w:line="480" w:lineRule="auto"/>
        <w:ind w:firstLine="0" w:firstLineChars="0"/>
        <w:jc w:val="center"/>
        <w:outlineLvl w:val="0"/>
        <w:rPr>
          <w:rFonts w:ascii="Arial" w:hAnsi="Arial" w:eastAsia="宋体" w:cs="Arial"/>
          <w:b/>
          <w:bCs/>
          <w:color w:val="000000"/>
          <w:sz w:val="32"/>
          <w:szCs w:val="32"/>
          <w:lang w:eastAsia="en-GB"/>
        </w:rPr>
      </w:pPr>
      <w:r>
        <w:rPr>
          <w:rFonts w:ascii="Arial" w:hAnsi="Arial" w:eastAsia="宋体" w:cs="Arial"/>
          <w:b/>
          <w:bCs/>
          <w:color w:val="000000"/>
          <w:sz w:val="32"/>
          <w:szCs w:val="32"/>
          <w:lang w:eastAsia="en-GB"/>
        </w:rPr>
        <w:t>7-hydroxyethyl chrysin alleviate</w:t>
      </w:r>
      <w:r>
        <w:rPr>
          <w:rFonts w:ascii="Arial" w:hAnsi="Arial" w:eastAsia="宋体" w:cs="Arial"/>
          <w:b/>
          <w:bCs/>
          <w:color w:val="000000"/>
          <w:sz w:val="32"/>
          <w:szCs w:val="32"/>
        </w:rPr>
        <w:t>s h</w:t>
      </w:r>
      <w:r>
        <w:rPr>
          <w:rFonts w:ascii="Arial" w:hAnsi="Arial" w:eastAsia="宋体" w:cs="Arial"/>
          <w:b/>
          <w:bCs/>
          <w:color w:val="000000"/>
          <w:sz w:val="32"/>
          <w:szCs w:val="32"/>
          <w:lang w:eastAsia="en-GB"/>
        </w:rPr>
        <w:t>igh altitude pulmonary edema</w:t>
      </w:r>
      <w:r>
        <w:rPr>
          <w:rFonts w:ascii="Arial" w:hAnsi="Arial" w:eastAsia="宋体" w:cs="Arial"/>
          <w:b/>
          <w:bCs/>
          <w:color w:val="000000"/>
          <w:sz w:val="32"/>
          <w:szCs w:val="32"/>
        </w:rPr>
        <w:t xml:space="preserve"> via</w:t>
      </w:r>
      <w:r>
        <w:rPr>
          <w:rFonts w:ascii="Arial" w:hAnsi="Arial" w:eastAsia="宋体" w:cs="Arial"/>
          <w:b/>
          <w:bCs/>
          <w:color w:val="000000"/>
          <w:sz w:val="32"/>
          <w:szCs w:val="32"/>
          <w:lang w:eastAsia="en-GB"/>
        </w:rPr>
        <w:t xml:space="preserve"> </w:t>
      </w:r>
      <w:r>
        <w:rPr>
          <w:rFonts w:ascii="Arial" w:hAnsi="Arial" w:eastAsia="宋体" w:cs="Arial"/>
          <w:b/>
          <w:bCs/>
          <w:color w:val="000000"/>
          <w:sz w:val="32"/>
          <w:szCs w:val="32"/>
        </w:rPr>
        <w:t>a</w:t>
      </w:r>
      <w:r>
        <w:rPr>
          <w:rFonts w:ascii="Arial" w:hAnsi="Arial" w:eastAsia="宋体" w:cs="Arial"/>
          <w:b/>
          <w:bCs/>
          <w:color w:val="000000"/>
          <w:sz w:val="32"/>
          <w:szCs w:val="32"/>
          <w:lang w:eastAsia="en-GB"/>
        </w:rPr>
        <w:t xml:space="preserve">ctivation of the </w:t>
      </w:r>
      <w:r>
        <w:rPr>
          <w:rFonts w:ascii="Arial" w:hAnsi="Arial" w:eastAsia="宋体" w:cs="Arial"/>
          <w:b/>
          <w:bCs/>
          <w:color w:val="000000"/>
          <w:sz w:val="32"/>
          <w:szCs w:val="32"/>
        </w:rPr>
        <w:t>PI3K/AKT signal</w:t>
      </w:r>
      <w:r>
        <w:rPr>
          <w:rFonts w:hint="eastAsia" w:ascii="Arial" w:hAnsi="Arial" w:eastAsia="宋体" w:cs="Arial"/>
          <w:b/>
          <w:bCs/>
          <w:color w:val="000000"/>
          <w:sz w:val="32"/>
          <w:szCs w:val="32"/>
        </w:rPr>
        <w:t>ing</w:t>
      </w:r>
      <w:r>
        <w:rPr>
          <w:rFonts w:ascii="Arial" w:hAnsi="Arial" w:eastAsia="宋体" w:cs="Arial"/>
          <w:b/>
          <w:bCs/>
          <w:color w:val="000000"/>
          <w:sz w:val="32"/>
          <w:szCs w:val="32"/>
        </w:rPr>
        <w:t xml:space="preserve"> pathway</w:t>
      </w:r>
    </w:p>
    <w:p>
      <w:pPr>
        <w:pStyle w:val="7"/>
        <w:widowControl/>
        <w:snapToGrid w:val="0"/>
        <w:spacing w:before="0" w:line="480" w:lineRule="auto"/>
        <w:ind w:firstLine="0" w:firstLineChars="0"/>
        <w:jc w:val="left"/>
        <w:rPr>
          <w:rFonts w:ascii="Arial" w:hAnsi="Arial" w:eastAsia="Times New Roman" w:cs="Arial"/>
          <w:color w:val="000000"/>
          <w:kern w:val="0"/>
          <w:sz w:val="20"/>
          <w:lang w:eastAsia="en-GB"/>
        </w:rPr>
      </w:pPr>
      <w:bookmarkStart w:id="0" w:name="OLE_LINK143"/>
      <w:r>
        <w:rPr>
          <w:rFonts w:hint="eastAsia" w:ascii="Arial" w:hAnsi="Arial" w:eastAsia="宋体" w:cs="Arial"/>
          <w:color w:val="000000"/>
          <w:kern w:val="0"/>
          <w:sz w:val="20"/>
        </w:rPr>
        <w:t>Gege</w:t>
      </w:r>
      <w:r>
        <w:rPr>
          <w:rFonts w:ascii="Arial" w:hAnsi="Arial" w:eastAsia="宋体" w:cs="Arial"/>
          <w:color w:val="000000"/>
          <w:kern w:val="0"/>
          <w:sz w:val="20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20"/>
        </w:rPr>
        <w:t>Wang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1</w:t>
      </w:r>
      <w:r>
        <w:rPr>
          <w:rFonts w:ascii="Arial" w:hAnsi="Arial" w:eastAsia="Times New Roman" w:cs="Arial"/>
          <w:color w:val="000000"/>
          <w:kern w:val="0"/>
          <w:sz w:val="20"/>
          <w:vertAlign w:val="superscript"/>
          <w:lang w:eastAsia="en-GB"/>
        </w:rPr>
        <w:t>,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2</w:t>
      </w:r>
      <w:r>
        <w:rPr>
          <w:rFonts w:ascii="Arial" w:hAnsi="Arial" w:eastAsia="宋体" w:cs="Arial"/>
          <w:color w:val="000000"/>
          <w:kern w:val="0"/>
          <w:sz w:val="20"/>
        </w:rPr>
        <w:t xml:space="preserve">, </w:t>
      </w:r>
      <w:r>
        <w:rPr>
          <w:rFonts w:ascii="Arial" w:hAnsi="Arial" w:eastAsia="Times New Roman" w:cs="Arial"/>
          <w:color w:val="000000"/>
          <w:kern w:val="0"/>
          <w:sz w:val="20"/>
          <w:lang w:eastAsia="en-GB"/>
        </w:rPr>
        <w:t>Ning Wang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2</w:t>
      </w:r>
      <w:r>
        <w:rPr>
          <w:rFonts w:ascii="Arial" w:hAnsi="Arial" w:eastAsia="Times New Roman" w:cs="Arial"/>
          <w:color w:val="000000"/>
          <w:kern w:val="0"/>
          <w:sz w:val="20"/>
          <w:lang w:eastAsia="en-GB"/>
        </w:rPr>
        <w:t xml:space="preserve">, </w:t>
      </w:r>
      <w:r>
        <w:rPr>
          <w:rFonts w:hint="eastAsia" w:ascii="Arial" w:hAnsi="Arial" w:eastAsia="宋体" w:cs="Arial"/>
          <w:color w:val="000000"/>
          <w:kern w:val="0"/>
          <w:sz w:val="20"/>
        </w:rPr>
        <w:t>Yu</w:t>
      </w:r>
      <w:r>
        <w:rPr>
          <w:rFonts w:ascii="Arial" w:hAnsi="Arial" w:eastAsia="Times New Roman" w:cs="Arial"/>
          <w:color w:val="000000"/>
          <w:kern w:val="0"/>
          <w:sz w:val="20"/>
          <w:lang w:eastAsia="en-GB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 w:val="20"/>
        </w:rPr>
        <w:t>Xin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1</w:t>
      </w:r>
      <w:r>
        <w:rPr>
          <w:rFonts w:ascii="Arial" w:hAnsi="Arial" w:eastAsia="Times New Roman" w:cs="Arial"/>
          <w:color w:val="000000"/>
          <w:kern w:val="0"/>
          <w:sz w:val="20"/>
          <w:vertAlign w:val="superscript"/>
          <w:lang w:eastAsia="en-GB"/>
        </w:rPr>
        <w:t>,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2</w:t>
      </w:r>
      <w:r>
        <w:rPr>
          <w:rFonts w:ascii="Arial" w:hAnsi="Arial" w:eastAsia="Times New Roman" w:cs="Arial"/>
          <w:color w:val="000000"/>
          <w:kern w:val="0"/>
          <w:sz w:val="20"/>
          <w:lang w:eastAsia="en-GB"/>
        </w:rPr>
        <w:t>, Huiping Ma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2</w:t>
      </w:r>
      <w:r>
        <w:rPr>
          <w:rFonts w:ascii="Arial" w:hAnsi="Arial" w:eastAsia="Times New Roman" w:cs="Arial"/>
          <w:color w:val="000000"/>
          <w:kern w:val="0"/>
          <w:sz w:val="20"/>
          <w:lang w:eastAsia="en-GB"/>
        </w:rPr>
        <w:t>, Linlin Jing</w:t>
      </w:r>
      <w:r>
        <w:rPr>
          <w:rFonts w:ascii="Arial" w:hAnsi="Arial" w:eastAsia="宋体" w:cs="Arial"/>
          <w:color w:val="000000"/>
          <w:kern w:val="0"/>
          <w:sz w:val="20"/>
          <w:vertAlign w:val="superscript"/>
        </w:rPr>
        <w:t>1</w:t>
      </w:r>
    </w:p>
    <w:p>
      <w:pPr>
        <w:pStyle w:val="8"/>
        <w:widowControl/>
        <w:snapToGrid w:val="0"/>
        <w:spacing w:before="0" w:line="480" w:lineRule="auto"/>
        <w:ind w:firstLine="0" w:firstLineChars="0"/>
        <w:jc w:val="left"/>
        <w:rPr>
          <w:rFonts w:ascii="Arial" w:hAnsi="Arial" w:eastAsia="Times New Roman" w:cs="Arial"/>
          <w:color w:val="000000"/>
          <w:kern w:val="0"/>
          <w:lang w:eastAsia="en-GB"/>
        </w:rPr>
      </w:pPr>
      <w:r>
        <w:rPr>
          <w:rFonts w:ascii="Arial" w:hAnsi="Arial" w:eastAsia="宋体" w:cs="Arial"/>
          <w:color w:val="000000"/>
          <w:kern w:val="0"/>
          <w:vertAlign w:val="superscript"/>
        </w:rPr>
        <w:t>1</w:t>
      </w:r>
      <w:r>
        <w:rPr>
          <w:rFonts w:ascii="Arial" w:hAnsi="Arial" w:eastAsia="Times New Roman" w:cs="Arial"/>
          <w:color w:val="000000"/>
          <w:kern w:val="0"/>
          <w:lang w:eastAsia="en-GB"/>
        </w:rPr>
        <w:t xml:space="preserve">Department of Pharmacy, </w:t>
      </w:r>
      <w:r>
        <w:rPr>
          <w:rFonts w:hint="eastAsia" w:ascii="Arial" w:hAnsi="Arial" w:eastAsia="宋体" w:cs="Arial"/>
          <w:color w:val="000000"/>
          <w:kern w:val="0"/>
        </w:rPr>
        <w:t>T</w:t>
      </w:r>
      <w:r>
        <w:rPr>
          <w:rFonts w:ascii="Arial" w:hAnsi="Arial" w:eastAsia="Times New Roman" w:cs="Arial"/>
          <w:color w:val="000000"/>
          <w:kern w:val="0"/>
          <w:lang w:eastAsia="en-GB"/>
        </w:rPr>
        <w:t>he First Affiliated Hospital of Xi'an Jiaotong University, Xi'an, Shaanxi, People’s Republic of China.</w:t>
      </w:r>
    </w:p>
    <w:p>
      <w:pPr>
        <w:pStyle w:val="8"/>
        <w:widowControl/>
        <w:snapToGrid w:val="0"/>
        <w:spacing w:before="0" w:line="480" w:lineRule="auto"/>
        <w:ind w:firstLine="0" w:firstLineChars="0"/>
        <w:jc w:val="left"/>
        <w:rPr>
          <w:rFonts w:ascii="Arial" w:hAnsi="Arial" w:eastAsia="Times New Roman" w:cs="Arial"/>
          <w:color w:val="000000"/>
          <w:kern w:val="0"/>
          <w:lang w:eastAsia="en-GB"/>
        </w:rPr>
      </w:pPr>
      <w:r>
        <w:rPr>
          <w:rFonts w:ascii="Arial" w:hAnsi="Arial" w:eastAsia="宋体" w:cs="Arial"/>
          <w:color w:val="000000"/>
          <w:kern w:val="0"/>
          <w:vertAlign w:val="superscript"/>
        </w:rPr>
        <w:t>2</w:t>
      </w:r>
      <w:r>
        <w:rPr>
          <w:rFonts w:ascii="Arial" w:hAnsi="Arial" w:eastAsia="Times New Roman" w:cs="Arial"/>
          <w:color w:val="000000"/>
          <w:kern w:val="0"/>
          <w:lang w:eastAsia="en-GB"/>
        </w:rPr>
        <w:t xml:space="preserve">Department of Pharmacy, </w:t>
      </w:r>
      <w:r>
        <w:rPr>
          <w:rFonts w:hint="eastAsia" w:ascii="Arial" w:hAnsi="Arial" w:eastAsia="宋体" w:cs="Arial"/>
          <w:color w:val="000000"/>
          <w:kern w:val="0"/>
        </w:rPr>
        <w:t>T</w:t>
      </w:r>
      <w:r>
        <w:rPr>
          <w:rFonts w:ascii="Arial" w:hAnsi="Arial" w:eastAsia="Times New Roman" w:cs="Arial"/>
          <w:color w:val="000000"/>
          <w:kern w:val="0"/>
          <w:lang w:eastAsia="en-GB"/>
        </w:rPr>
        <w:t>he 940th Hospital of Joint Logistics Support force of PLA, Lanzhou, Gansu, People’s Republic of China</w:t>
      </w:r>
    </w:p>
    <w:p>
      <w:pPr>
        <w:snapToGrid w:val="0"/>
        <w:spacing w:line="480" w:lineRule="auto"/>
        <w:ind w:firstLine="0" w:firstLineChars="0"/>
        <w:rPr>
          <w:rFonts w:ascii="Arial" w:hAnsi="Arial" w:cs="Arial"/>
          <w:color w:val="000000"/>
        </w:rPr>
      </w:pPr>
    </w:p>
    <w:bookmarkEnd w:id="0"/>
    <w:p>
      <w:pPr>
        <w:snapToGrid w:val="0"/>
        <w:spacing w:line="480" w:lineRule="auto"/>
        <w:ind w:firstLine="0" w:firstLineChars="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Correspondence</w:t>
      </w:r>
    </w:p>
    <w:p>
      <w:pPr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Linlin Jing, </w:t>
      </w:r>
      <w:r>
        <w:rPr>
          <w:rFonts w:ascii="Arial" w:hAnsi="Arial" w:cs="Arial"/>
          <w:color w:val="000000"/>
        </w:rPr>
        <w:t xml:space="preserve">Department of Pharmacy, The First Affiliated Hospital of Xi'an Jiaotong University, NO.277 Yanta West Road, Yanta District, Xi’an, Shaanxi, 710061, People’s Republic of China. </w:t>
      </w:r>
    </w:p>
    <w:p>
      <w:pPr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E-mail address: jinglinlin@xjtufh.edu.cn </w:t>
      </w:r>
    </w:p>
    <w:p>
      <w:pPr>
        <w:snapToGrid w:val="0"/>
        <w:spacing w:line="480" w:lineRule="auto"/>
        <w:ind w:firstLine="0" w:firstLineChars="0"/>
        <w:jc w:val="lef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color w:val="000000"/>
        </w:rPr>
        <w:t>Huiping Ma</w:t>
      </w:r>
      <w:r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Department of pharmacy, The 940th Hospital of Joint Logistics Support force of PLA, NO.333 Binhe South Road, Qilihe District, Lanzhou, 730050, Gansu, People’s Republic of China</w:t>
      </w:r>
      <w:r>
        <w:rPr>
          <w:rFonts w:ascii="Arial" w:hAnsi="Arial" w:cs="Arial"/>
          <w:i/>
          <w:color w:val="000000"/>
        </w:rPr>
        <w:t xml:space="preserve">. </w:t>
      </w:r>
      <w:r>
        <w:rPr>
          <w:rFonts w:ascii="Arial" w:hAnsi="Arial" w:cs="Arial"/>
          <w:color w:val="000000"/>
        </w:rPr>
        <w:t>E-mail addresses: huipingmacyk@163.com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  <w:bookmarkStart w:id="6" w:name="_GoBack"/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  <w:lang w:val="en-US" w:eastAsia="zh-CN"/>
        </w:rPr>
        <w:t>Table S1</w:t>
      </w:r>
      <w:r>
        <w:rPr>
          <w:rFonts w:hint="default" w:ascii="Arial" w:hAnsi="Arial" w:eastAsia="微软雅黑" w:cs="Arial"/>
          <w:color w:val="000000"/>
          <w:kern w:val="0"/>
          <w:sz w:val="20"/>
          <w:szCs w:val="20"/>
          <w:lang w:val="en-US" w:eastAsia="zh-CN"/>
        </w:rPr>
        <w:t xml:space="preserve"> Solubility of 7-HCE in different solvents (mg/mL)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98"/>
        <w:gridCol w:w="1260"/>
        <w:gridCol w:w="885"/>
        <w:gridCol w:w="1071"/>
        <w:gridCol w:w="974"/>
        <w:gridCol w:w="1215"/>
        <w:gridCol w:w="88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35" w:type="dxa"/>
            <w:tcBorders>
              <w:top w:val="single" w:color="auto" w:sz="12" w:space="0"/>
              <w:bottom w:val="single" w:color="auto" w:sz="12" w:space="0"/>
              <w:tl2br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600" w:firstLineChars="300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Sol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Com</w:t>
            </w:r>
          </w:p>
        </w:tc>
        <w:tc>
          <w:tcPr>
            <w:tcW w:w="109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Water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Acetonitrile</w:t>
            </w:r>
          </w:p>
        </w:tc>
        <w:tc>
          <w:tcPr>
            <w:tcW w:w="88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Ethyl alcohol</w:t>
            </w:r>
          </w:p>
        </w:tc>
        <w:tc>
          <w:tcPr>
            <w:tcW w:w="10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  <w:t xml:space="preserve">ethanol </w:t>
            </w:r>
          </w:p>
        </w:tc>
        <w:tc>
          <w:tcPr>
            <w:tcW w:w="97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E</w:t>
            </w: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  <w:t>thyl acetate</w:t>
            </w:r>
          </w:p>
        </w:tc>
        <w:tc>
          <w:tcPr>
            <w:tcW w:w="12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  <w:lang w:val="en-US" w:eastAsia="zh-CN"/>
              </w:rPr>
              <w:t>C</w:t>
            </w: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  <w:t>hloroform</w:t>
            </w:r>
          </w:p>
        </w:tc>
        <w:tc>
          <w:tcPr>
            <w:tcW w:w="88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 w:eastAsia="楷体_GB2312" w:cs="Arial"/>
                <w:b w:val="0"/>
                <w:bCs/>
                <w:sz w:val="20"/>
                <w:szCs w:val="20"/>
              </w:rPr>
              <w:t>DMSO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楷体_GB2312" w:cs="Arial"/>
                <w:b/>
                <w:sz w:val="20"/>
                <w:szCs w:val="20"/>
                <w:lang w:val="en-US" w:eastAsia="zh-CN"/>
              </w:rPr>
              <w:t>Chrysin</w:t>
            </w:r>
          </w:p>
        </w:tc>
        <w:tc>
          <w:tcPr>
            <w:tcW w:w="1098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3.84×10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260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885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3.69</w:t>
            </w:r>
          </w:p>
        </w:tc>
        <w:tc>
          <w:tcPr>
            <w:tcW w:w="1071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1.91</w:t>
            </w:r>
          </w:p>
        </w:tc>
        <w:tc>
          <w:tcPr>
            <w:tcW w:w="974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3.33</w:t>
            </w:r>
          </w:p>
        </w:tc>
        <w:tc>
          <w:tcPr>
            <w:tcW w:w="1215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0.37</w:t>
            </w:r>
          </w:p>
        </w:tc>
        <w:tc>
          <w:tcPr>
            <w:tcW w:w="884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287.58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楷体_GB2312" w:cs="Arial"/>
                <w:b/>
                <w:sz w:val="20"/>
                <w:szCs w:val="20"/>
              </w:rPr>
              <w:t>7-HEC</w:t>
            </w:r>
          </w:p>
        </w:tc>
        <w:tc>
          <w:tcPr>
            <w:tcW w:w="1098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2.45×10</w:t>
            </w:r>
            <w:r>
              <w:rPr>
                <w:rFonts w:hint="default" w:ascii="Arial" w:hAnsi="Arial" w:cs="Arial"/>
                <w:kern w:val="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260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2.25</w:t>
            </w:r>
          </w:p>
        </w:tc>
        <w:tc>
          <w:tcPr>
            <w:tcW w:w="885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4.00</w:t>
            </w:r>
          </w:p>
        </w:tc>
        <w:tc>
          <w:tcPr>
            <w:tcW w:w="1071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2.93</w:t>
            </w:r>
          </w:p>
        </w:tc>
        <w:tc>
          <w:tcPr>
            <w:tcW w:w="974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楷体_GB2312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5.83</w:t>
            </w:r>
          </w:p>
        </w:tc>
        <w:tc>
          <w:tcPr>
            <w:tcW w:w="1215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1.04</w:t>
            </w:r>
          </w:p>
        </w:tc>
        <w:tc>
          <w:tcPr>
            <w:tcW w:w="884" w:type="dxa"/>
            <w:tcBorders>
              <w:top w:val="nil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539.54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jc w:val="center"/>
        <w:textAlignment w:val="auto"/>
        <w:rPr>
          <w:rFonts w:hint="default" w:ascii="Arial" w:hAnsi="Arial" w:eastAsia="微软雅黑" w:cs="Arial"/>
          <w:color w:val="000000"/>
          <w:kern w:val="0"/>
          <w:sz w:val="20"/>
          <w:szCs w:val="20"/>
        </w:rPr>
      </w:pPr>
      <w:bookmarkStart w:id="1" w:name="OLE_LINK2"/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</w:rPr>
        <w:t>Table S</w:t>
      </w:r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</w:rPr>
        <w:t>.</w:t>
      </w:r>
      <w:r>
        <w:rPr>
          <w:rFonts w:hint="default" w:ascii="Arial" w:hAnsi="Arial" w:eastAsia="微软雅黑" w:cs="Arial"/>
          <w:color w:val="000000"/>
          <w:kern w:val="0"/>
          <w:sz w:val="20"/>
          <w:szCs w:val="20"/>
        </w:rPr>
        <w:t xml:space="preserve"> Reagent Sources</w:t>
      </w:r>
      <w:bookmarkEnd w:id="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237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Reagent/Resource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Lot 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sz w:val="20"/>
                <w:szCs w:val="20"/>
              </w:rPr>
              <w:t>Commercial Assays Kits</w:t>
            </w:r>
          </w:p>
        </w:tc>
        <w:tc>
          <w:tcPr>
            <w:tcW w:w="2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Nanjing Jiancheng Bioengineering Institute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Bicinchoninic Acid Assay (BCA)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bookmarkStart w:id="2" w:name="OLE_LINK73" w:colFirst="0" w:colLast="0"/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Malonaldehyde (MDA)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Superoxide dismutase (SOD)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Hydrogen peroxide (H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O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Glutathione peroxidase (GSH-Px)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Myeloperoxidase (MPO)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Glutathione (GSH)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Catalase (CAT)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Total antioxidant capacity (T-AOC)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Glutathione S-transferases (GST)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20160808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Pyruvate kinase (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PK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bookmarkStart w:id="3" w:name="OLE_LINK75" w:colFirst="0" w:colLast="0"/>
            <w:r>
              <w:rPr>
                <w:rFonts w:hint="default" w:ascii="Arial" w:hAnsi="Arial" w:eastAsia="宋体" w:cs="Arial"/>
                <w:sz w:val="20"/>
                <w:szCs w:val="20"/>
              </w:rPr>
              <w:t>Pyruvic acid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Nitric oxide (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NO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Lactate dehydrogenase (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LDH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 xml:space="preserve">Lactate </w:t>
            </w:r>
            <w:r>
              <w:rPr>
                <w:rFonts w:hint="default" w:ascii="Arial" w:hAnsi="Arial" w:eastAsia="宋体" w:cs="Arial"/>
                <w:sz w:val="20"/>
                <w:szCs w:val="20"/>
              </w:rPr>
              <w:t>(LD)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ATP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ATPase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20160823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sz w:val="20"/>
                <w:szCs w:val="20"/>
              </w:rPr>
              <w:t>ELISA Kits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bookmarkStart w:id="4" w:name="OLE_LINK82" w:colFirst="0" w:colLast="0"/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Tumor necrosis factor alpha (TNF-α)</w:t>
            </w:r>
          </w:p>
        </w:tc>
        <w:tc>
          <w:tcPr>
            <w:tcW w:w="23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Shanghai Fengxiang Biological Technology Co., Ltd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Interleukin-1</w:t>
            </w:r>
            <w:r>
              <w:rPr>
                <w:rFonts w:hint="default" w:ascii="Arial" w:hAnsi="Arial" w:eastAsia="微软雅黑" w:cs="Arial"/>
                <w:i/>
                <w:iCs/>
                <w:color w:val="000000"/>
                <w:sz w:val="20"/>
                <w:szCs w:val="20"/>
              </w:rPr>
              <w:t>β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 xml:space="preserve"> (IL-1β)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Interleukin-6</w:t>
            </w:r>
            <w:r>
              <w:rPr>
                <w:rFonts w:hint="default" w:ascii="Arial" w:hAnsi="Arial" w:eastAsia="微软雅黑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(IL-6)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20160704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Endothelial nitric oxide synthase (eNOS)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Endothelin-1 (ET-1)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Soluble vascular cell adhesion Molecule-1 (sVCAM-1)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Soluble intercellular adhesion molecule-1 (slCAM-1)</w:t>
            </w:r>
          </w:p>
        </w:tc>
        <w:tc>
          <w:tcPr>
            <w:tcW w:w="23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20160522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textAlignment w:val="auto"/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sz w:val="20"/>
                <w:szCs w:val="20"/>
              </w:rPr>
              <w:t>Antibodies</w:t>
            </w:r>
          </w:p>
        </w:tc>
        <w:tc>
          <w:tcPr>
            <w:tcW w:w="23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  <w:tc>
          <w:tcPr>
            <w:tcW w:w="27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eastAsia" w:ascii="Arial" w:hAnsi="Arial" w:eastAsia="微软雅黑" w:cs="Arial"/>
                <w:color w:val="000000"/>
                <w:spacing w:val="12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auto"/>
                <w:spacing w:val="12"/>
                <w:sz w:val="20"/>
                <w:szCs w:val="20"/>
              </w:rPr>
              <w:t>p-NF-κB</w:t>
            </w:r>
            <w:r>
              <w:rPr>
                <w:rFonts w:hint="eastAsia" w:ascii="Arial" w:hAnsi="Arial" w:eastAsia="微软雅黑" w:cs="Arial"/>
                <w:color w:val="auto"/>
                <w:spacing w:val="12"/>
                <w:sz w:val="20"/>
                <w:szCs w:val="20"/>
                <w:lang w:val="en-US" w:eastAsia="zh-CN"/>
              </w:rPr>
              <w:t xml:space="preserve"> p65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bookmarkStart w:id="5" w:name="OLE_LINK3"/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Cell Signaling Technology</w:t>
            </w:r>
            <w:bookmarkEnd w:id="5"/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eastAsia" w:ascii="Arial" w:hAnsi="Arial" w:eastAsia="微软雅黑" w:cs="Arial"/>
                <w:color w:val="000000"/>
                <w:spacing w:val="12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auto"/>
                <w:spacing w:val="12"/>
                <w:sz w:val="20"/>
                <w:szCs w:val="20"/>
              </w:rPr>
              <w:t>NF-κB</w:t>
            </w:r>
            <w:r>
              <w:rPr>
                <w:rFonts w:hint="eastAsia" w:ascii="Arial" w:hAnsi="Arial" w:eastAsia="微软雅黑" w:cs="Arial"/>
                <w:color w:val="auto"/>
                <w:spacing w:val="12"/>
                <w:sz w:val="20"/>
                <w:szCs w:val="20"/>
                <w:lang w:val="en-US" w:eastAsia="zh-CN"/>
              </w:rPr>
              <w:t xml:space="preserve"> p65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1034098-1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AQP1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Proteintech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00099337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Occludin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GR3243495-10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VEGF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Affinity Biosciences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83m8093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pacing w:val="12"/>
                <w:sz w:val="20"/>
                <w:szCs w:val="20"/>
                <w:lang w:val="en-US" w:eastAsia="zh-CN"/>
              </w:rPr>
              <w:t>p-PI3K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Cell Signaling Technology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  <w:t>4228T(7)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pacing w:val="12"/>
                <w:sz w:val="20"/>
                <w:szCs w:val="20"/>
                <w:lang w:val="en-US" w:eastAsia="zh-CN"/>
              </w:rPr>
              <w:t>PI3K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Cell Signaling Technology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  <w:t>4292S(12)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pacing w:val="12"/>
                <w:sz w:val="20"/>
                <w:szCs w:val="20"/>
                <w:lang w:val="en-US" w:eastAsia="zh-CN"/>
              </w:rPr>
              <w:t>p-AKT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Cell Signaling Technology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  <w:t>9271S(15)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b w:val="0"/>
                <w:bCs w:val="0"/>
                <w:color w:val="000000"/>
                <w:spacing w:val="12"/>
                <w:sz w:val="20"/>
                <w:szCs w:val="20"/>
                <w:lang w:val="en-US" w:eastAsia="zh-CN"/>
              </w:rPr>
              <w:t>AKT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Cell Signaling Technology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  <w:lang w:val="en-US" w:eastAsia="zh-CN"/>
              </w:rPr>
              <w:t>9272S(30)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 w:firstLineChars="0"/>
              <w:jc w:val="center"/>
              <w:textAlignment w:val="auto"/>
              <w:rPr>
                <w:rFonts w:hint="default" w:ascii="Arial" w:hAnsi="Arial" w:eastAsia="微软雅黑" w:cs="Arial"/>
                <w:b/>
                <w:bCs/>
                <w:color w:val="000000"/>
                <w:spacing w:val="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i/>
                <w:iCs/>
                <w:color w:val="000000"/>
                <w:spacing w:val="12"/>
                <w:sz w:val="20"/>
                <w:szCs w:val="20"/>
              </w:rPr>
              <w:t>β</w:t>
            </w: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-actin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ZSGB-BIO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230090801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 w:firstLineChars="0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HRP-labeled Goat Anti-Mouse IgG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Proteintech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20000484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ind w:firstLine="448" w:firstLineChars="0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spacing w:val="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pacing w:val="12"/>
                <w:sz w:val="20"/>
                <w:szCs w:val="20"/>
              </w:rPr>
              <w:t>HRP-labeled Goat Anti-Rabbit IgG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Proteintech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480" w:lineRule="auto"/>
              <w:jc w:val="center"/>
              <w:textAlignment w:val="auto"/>
              <w:rPr>
                <w:rFonts w:hint="default" w:ascii="Arial" w:hAnsi="Arial" w:eastAsia="微软雅黑" w:cs="Arial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微软雅黑" w:cs="Arial"/>
                <w:color w:val="000000"/>
                <w:sz w:val="20"/>
                <w:szCs w:val="20"/>
              </w:rPr>
              <w:t>20000486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p>
      <w:pPr>
        <w:spacing w:line="480" w:lineRule="auto"/>
        <w:jc w:val="center"/>
        <w:rPr>
          <w:rFonts w:hint="default" w:ascii="Arial" w:hAnsi="Arial" w:cs="Arial" w:eastAsiaTheme="minorEastAsia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</w:rPr>
        <w:t>Table S</w:t>
      </w:r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default" w:ascii="Arial" w:hAnsi="Arial" w:eastAsia="微软雅黑" w:cs="Arial"/>
          <w:b/>
          <w:bCs/>
          <w:color w:val="000000"/>
          <w:kern w:val="0"/>
          <w:sz w:val="20"/>
          <w:szCs w:val="20"/>
        </w:rPr>
        <w:t>.</w:t>
      </w:r>
      <w:r>
        <w:rPr>
          <w:rFonts w:hint="default" w:ascii="Arial" w:hAnsi="Arial" w:eastAsia="微软雅黑" w:cs="Arial"/>
          <w:color w:val="000000"/>
          <w:kern w:val="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T</w:t>
      </w:r>
      <w:r>
        <w:rPr>
          <w:rFonts w:hint="default" w:ascii="Arial" w:hAnsi="Arial" w:cs="Arial"/>
          <w:sz w:val="20"/>
          <w:szCs w:val="20"/>
        </w:rPr>
        <w:t>he molecular docking range parameters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of hub targets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42"/>
        <w:gridCol w:w="2419"/>
        <w:gridCol w:w="926"/>
        <w:gridCol w:w="704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names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PDB ID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</w:rPr>
              <w:t>olecular docking range parameters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 names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PDB ID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</w:rPr>
              <w:t>olecular docking range 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TNF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7jra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-6.717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-1.716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-29.488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25.0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25.0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25.0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EGFR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8po4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44.868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-17.298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18.698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23.8888888889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23.8888888889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23.8888888889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HIF1A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AF-Q16665-F1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5.775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-1.877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5.682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40.0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HSP90AA1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7s9h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33.496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14.519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-20.479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40.0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MMP9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8k5v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22.286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2.038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-9.846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25.4444444444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25.4444444444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25.4444444444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ESR1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2qxs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35.721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6.009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20.263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40.0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NFKB1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8tqd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13.14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6.959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-0.607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40.0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40.0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PPARG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3u9q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8.912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-1.052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13.086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30.1111111111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30.1111111111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30.1111111111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center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HSP90AB1</w:t>
            </w: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6n8y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center_x = -0.78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center_y = -14.625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center_z = -27.539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size_x = 24.7777777778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size_y = 24.7777777778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80" w:lineRule="auto"/>
              <w:ind w:firstLine="0" w:firstLineChars="0"/>
              <w:jc w:val="left"/>
              <w:rPr>
                <w:rFonts w:hint="default" w:ascii="Arial" w:hAnsi="Arial" w:cs="Arial" w:eastAsia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size_z = 24.7777777778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480" w:lineRule="auto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GU3OWQ0ZDU5NWY1ZTcwNmQ3NWVjNWJjZGZiNTMifQ=="/>
  </w:docVars>
  <w:rsids>
    <w:rsidRoot w:val="00000000"/>
    <w:rsid w:val="001F6B0C"/>
    <w:rsid w:val="018F436E"/>
    <w:rsid w:val="024917DB"/>
    <w:rsid w:val="02CD4AD3"/>
    <w:rsid w:val="08AE6343"/>
    <w:rsid w:val="117020D6"/>
    <w:rsid w:val="133B4C77"/>
    <w:rsid w:val="17793FC0"/>
    <w:rsid w:val="1B195AA2"/>
    <w:rsid w:val="1E3649B9"/>
    <w:rsid w:val="1E57048B"/>
    <w:rsid w:val="1FE8672C"/>
    <w:rsid w:val="208D3E21"/>
    <w:rsid w:val="218470E6"/>
    <w:rsid w:val="22552710"/>
    <w:rsid w:val="24545B99"/>
    <w:rsid w:val="258641FB"/>
    <w:rsid w:val="26F96A77"/>
    <w:rsid w:val="2861121A"/>
    <w:rsid w:val="2A535F5B"/>
    <w:rsid w:val="2BCC070B"/>
    <w:rsid w:val="2C2B3683"/>
    <w:rsid w:val="2D314CC9"/>
    <w:rsid w:val="30C8449C"/>
    <w:rsid w:val="33C543BD"/>
    <w:rsid w:val="357961FE"/>
    <w:rsid w:val="358D1DC1"/>
    <w:rsid w:val="36B4763B"/>
    <w:rsid w:val="37F767AF"/>
    <w:rsid w:val="398E1F55"/>
    <w:rsid w:val="3D287053"/>
    <w:rsid w:val="3EEB5BB5"/>
    <w:rsid w:val="44C24001"/>
    <w:rsid w:val="461541D6"/>
    <w:rsid w:val="48F82202"/>
    <w:rsid w:val="50920245"/>
    <w:rsid w:val="5AEC0068"/>
    <w:rsid w:val="5B1530BB"/>
    <w:rsid w:val="5C1500F5"/>
    <w:rsid w:val="5CD050B5"/>
    <w:rsid w:val="5D7F0889"/>
    <w:rsid w:val="5F473629"/>
    <w:rsid w:val="60FF5F74"/>
    <w:rsid w:val="62FA7330"/>
    <w:rsid w:val="637340E0"/>
    <w:rsid w:val="639D5F0D"/>
    <w:rsid w:val="63FF401E"/>
    <w:rsid w:val="6722521C"/>
    <w:rsid w:val="697E3766"/>
    <w:rsid w:val="69B420F2"/>
    <w:rsid w:val="6B625A72"/>
    <w:rsid w:val="6CF748E0"/>
    <w:rsid w:val="7072464A"/>
    <w:rsid w:val="711573ED"/>
    <w:rsid w:val="72952BD1"/>
    <w:rsid w:val="743F62D0"/>
    <w:rsid w:val="759430E3"/>
    <w:rsid w:val="75B570E6"/>
    <w:rsid w:val="77364257"/>
    <w:rsid w:val="779858CE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Article title"/>
    <w:basedOn w:val="1"/>
    <w:next w:val="1"/>
    <w:autoRedefine/>
    <w:qFormat/>
    <w:uiPriority w:val="0"/>
    <w:pPr>
      <w:spacing w:after="120" w:line="360" w:lineRule="auto"/>
    </w:pPr>
    <w:rPr>
      <w:b/>
      <w:sz w:val="28"/>
    </w:rPr>
  </w:style>
  <w:style w:type="paragraph" w:customStyle="1" w:styleId="7">
    <w:name w:val="Author names"/>
    <w:basedOn w:val="1"/>
    <w:next w:val="1"/>
    <w:autoRedefine/>
    <w:qFormat/>
    <w:uiPriority w:val="0"/>
    <w:pPr>
      <w:spacing w:before="240" w:line="360" w:lineRule="auto"/>
    </w:pPr>
    <w:rPr>
      <w:sz w:val="28"/>
    </w:rPr>
  </w:style>
  <w:style w:type="paragraph" w:customStyle="1" w:styleId="8">
    <w:name w:val="Affiliation"/>
    <w:basedOn w:val="1"/>
    <w:autoRedefine/>
    <w:qFormat/>
    <w:uiPriority w:val="0"/>
    <w:pPr>
      <w:spacing w:before="240" w:line="360" w:lineRule="auto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417</Words>
  <Characters>2565</Characters>
  <Lines>0</Lines>
  <Paragraphs>0</Paragraphs>
  <TotalTime>0</TotalTime>
  <ScaleCrop>false</ScaleCrop>
  <LinksUpToDate>false</LinksUpToDate>
  <CharactersWithSpaces>2785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2024-09-16T09:32:00Z</dcterms:created>
  <dc:creator>lfjin</dc:creator>
  <cp:lastModifiedBy>景临林</cp:lastModifiedBy>
  <dcterms:modified xsi:type="dcterms:W3CDTF">2025-11-22T07:23:47Z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8A20BAA11C9D4877BB1EDCB8FC83534D_12</vt:lpwstr>
  </property>
  <property fmtid="{D5CDD505-2E9C-101B-9397-08002B2CF9AE}" pid="4" name="KSOTemplateDocerSaveRecord">
    <vt:lpwstr>eyJoZGlkIjoiMTZlY2IxMTQzMTg2ZDMxNWZiZmQ3Nzc0MDY5NDdkODQiLCJ1c2VySWQiOiIzMTg4NTcxMTEifQ==</vt:lpwstr>
  </property>
</Properties>
</file>