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9C2D" w14:textId="40FCFBAD" w:rsidR="00FB4E83" w:rsidRPr="00FB4E83" w:rsidRDefault="00E10A7A" w:rsidP="00FB4E83">
      <w:pPr>
        <w:widowControl/>
        <w:autoSpaceDE w:val="0"/>
        <w:autoSpaceDN w:val="0"/>
        <w:adjustRightInd w:val="0"/>
        <w:spacing w:before="120" w:after="240"/>
        <w:rPr>
          <w:rFonts w:ascii="Times New Roman" w:eastAsia="SimSun" w:hAnsi="Times New Roman" w:cs="Times New Roman"/>
          <w:b/>
          <w:i/>
          <w:iCs/>
          <w:sz w:val="24"/>
          <w:szCs w:val="24"/>
          <w14:ligatures w14:val="none"/>
        </w:rPr>
      </w:pPr>
      <w:r>
        <w:rPr>
          <w:rFonts w:ascii="Times New Roman" w:eastAsia="SimSun" w:hAnsi="Times New Roman" w:cs="Times New Roman"/>
          <w:bCs/>
          <w:sz w:val="24"/>
          <w:szCs w:val="24"/>
          <w14:ligatures w14:val="none"/>
        </w:rPr>
        <w:t xml:space="preserve">Supplementary Information 1: </w:t>
      </w:r>
      <w:r w:rsidR="00FB4E83" w:rsidRPr="00FB4E83">
        <w:rPr>
          <w:rFonts w:ascii="Times New Roman" w:eastAsia="SimSun" w:hAnsi="Times New Roman" w:cs="Times New Roman" w:hint="eastAsia"/>
          <w:b/>
          <w:i/>
          <w:iCs/>
          <w:sz w:val="24"/>
          <w:szCs w:val="24"/>
          <w14:ligatures w14:val="none"/>
        </w:rPr>
        <w:t>The effects of allicin on the liver and kidneys of rats</w:t>
      </w:r>
    </w:p>
    <w:p w14:paraId="05101D29" w14:textId="784B69DE" w:rsidR="00354AA7" w:rsidRPr="00FB4E83" w:rsidRDefault="00FB4E83" w:rsidP="00FB4E83">
      <w:pPr>
        <w:widowControl/>
        <w:autoSpaceDE w:val="0"/>
        <w:autoSpaceDN w:val="0"/>
        <w:adjustRightInd w:val="0"/>
        <w:spacing w:before="120" w:after="240"/>
        <w:ind w:firstLine="420"/>
        <w:rPr>
          <w:rFonts w:ascii="Times New Roman" w:eastAsia="SimSun" w:hAnsi="Times New Roman" w:cs="Times New Roman"/>
          <w:bCs/>
          <w:sz w:val="24"/>
          <w:szCs w:val="24"/>
          <w14:ligatures w14:val="none"/>
        </w:rPr>
      </w:pPr>
      <w:r w:rsidRPr="00FB4E83">
        <w:rPr>
          <w:rFonts w:ascii="Times New Roman" w:eastAsia="SimSun" w:hAnsi="Times New Roman" w:cs="Times New Roman" w:hint="eastAsia"/>
          <w:bCs/>
          <w:sz w:val="24"/>
          <w:szCs w:val="24"/>
          <w14:ligatures w14:val="none"/>
        </w:rPr>
        <w:t>We preliminarily studied the effects of different doses of allicin on the liver and kidneys of rats. The experimental period was 7 days. The allicin dose was 15 mg/kg in the low-dose group and 30 mg/kg in the high-dose group. At the end of the experiment, blood, liver and kidney tissues of rats in each group were taken to evaluate the safety of allicin on the liver and kidneys. The results showed that compared with the Con group, the liver tissue structure of rats in the All H and All L groups was intact, the cells were neatly arranged, and there was no inflammatory cell infiltration or edema (</w:t>
      </w:r>
      <w:r w:rsidRPr="00FB4E83">
        <w:rPr>
          <w:rFonts w:ascii="Times New Roman" w:eastAsia="SimSun" w:hAnsi="Times New Roman" w:cs="Times New Roman" w:hint="eastAsia"/>
          <w:bCs/>
          <w:color w:val="4472C4" w:themeColor="accent1"/>
          <w:sz w:val="24"/>
          <w:szCs w:val="24"/>
          <w14:ligatures w14:val="none"/>
        </w:rPr>
        <w:t>Figure S1 A</w:t>
      </w:r>
      <w:r w:rsidRPr="00FB4E83">
        <w:rPr>
          <w:rFonts w:ascii="Times New Roman" w:eastAsia="SimSun" w:hAnsi="Times New Roman" w:cs="Times New Roman" w:hint="eastAsia"/>
          <w:bCs/>
          <w:sz w:val="24"/>
          <w:szCs w:val="24"/>
          <w14:ligatures w14:val="none"/>
        </w:rPr>
        <w:t>). And there was no significant difference in the expression of serum ALT and AST among the groups of rats (</w:t>
      </w:r>
      <w:r w:rsidRPr="00FB4E83">
        <w:rPr>
          <w:rFonts w:ascii="Times New Roman" w:eastAsia="SimSun" w:hAnsi="Times New Roman" w:cs="Times New Roman" w:hint="eastAsia"/>
          <w:bCs/>
          <w:color w:val="4472C4" w:themeColor="accent1"/>
          <w:sz w:val="24"/>
          <w:szCs w:val="24"/>
          <w14:ligatures w14:val="none"/>
        </w:rPr>
        <w:t>Figure S1 BC</w:t>
      </w:r>
      <w:r w:rsidRPr="00FB4E83">
        <w:rPr>
          <w:rFonts w:ascii="Times New Roman" w:eastAsia="SimSun" w:hAnsi="Times New Roman" w:cs="Times New Roman" w:hint="eastAsia"/>
          <w:bCs/>
          <w:sz w:val="24"/>
          <w:szCs w:val="24"/>
          <w14:ligatures w14:val="none"/>
        </w:rPr>
        <w:t xml:space="preserve">). The </w:t>
      </w:r>
      <w:r w:rsidR="00632A6C" w:rsidRPr="00632A6C">
        <w:rPr>
          <w:rFonts w:ascii="Times New Roman" w:eastAsia="SimSun" w:hAnsi="Times New Roman" w:cs="Times New Roman"/>
          <w:sz w:val="24"/>
          <w:szCs w:val="24"/>
          <w14:ligatures w14:val="none"/>
        </w:rPr>
        <w:t>kidney</w:t>
      </w:r>
      <w:r w:rsidRPr="00FB4E83">
        <w:rPr>
          <w:rFonts w:ascii="Times New Roman" w:eastAsia="SimSun" w:hAnsi="Times New Roman" w:cs="Times New Roman" w:hint="eastAsia"/>
          <w:bCs/>
          <w:sz w:val="24"/>
          <w:szCs w:val="24"/>
          <w14:ligatures w14:val="none"/>
        </w:rPr>
        <w:t xml:space="preserve"> tissue structure of rats in the All H and All L groups was clear, with normal glomeruli and renal tubules, and no inflammatory cell infiltration or pathological injury (</w:t>
      </w:r>
      <w:r w:rsidRPr="00FB4E83">
        <w:rPr>
          <w:rFonts w:ascii="Times New Roman" w:eastAsia="SimSun" w:hAnsi="Times New Roman" w:cs="Times New Roman" w:hint="eastAsia"/>
          <w:bCs/>
          <w:color w:val="4472C4" w:themeColor="accent1"/>
          <w:sz w:val="24"/>
          <w:szCs w:val="24"/>
          <w14:ligatures w14:val="none"/>
        </w:rPr>
        <w:t>Figure S1 D</w:t>
      </w:r>
      <w:r w:rsidRPr="00FB4E83">
        <w:rPr>
          <w:rFonts w:ascii="Times New Roman" w:eastAsia="SimSun" w:hAnsi="Times New Roman" w:cs="Times New Roman" w:hint="eastAsia"/>
          <w:bCs/>
          <w:sz w:val="24"/>
          <w:szCs w:val="24"/>
          <w14:ligatures w14:val="none"/>
        </w:rPr>
        <w:t>). The results of serum renal function index showed that there were no significant differences in the expressions of BUN and Cre in the serum of each group of rats (</w:t>
      </w:r>
      <w:r w:rsidRPr="00FB4E83">
        <w:rPr>
          <w:rFonts w:ascii="Times New Roman" w:eastAsia="SimSun" w:hAnsi="Times New Roman" w:cs="Times New Roman" w:hint="eastAsia"/>
          <w:bCs/>
          <w:color w:val="4472C4" w:themeColor="accent1"/>
          <w:sz w:val="24"/>
          <w:szCs w:val="24"/>
          <w14:ligatures w14:val="none"/>
        </w:rPr>
        <w:t>Figure S1 EF</w:t>
      </w:r>
      <w:r w:rsidRPr="00FB4E83">
        <w:rPr>
          <w:rFonts w:ascii="Times New Roman" w:eastAsia="SimSun" w:hAnsi="Times New Roman" w:cs="Times New Roman" w:hint="eastAsia"/>
          <w:bCs/>
          <w:sz w:val="24"/>
          <w:szCs w:val="24"/>
          <w14:ligatures w14:val="none"/>
        </w:rPr>
        <w:t xml:space="preserve">). This </w:t>
      </w:r>
      <w:proofErr w:type="gramStart"/>
      <w:r w:rsidRPr="00FB4E83">
        <w:rPr>
          <w:rFonts w:ascii="Times New Roman" w:eastAsia="SimSun" w:hAnsi="Times New Roman" w:cs="Times New Roman" w:hint="eastAsia"/>
          <w:bCs/>
          <w:sz w:val="24"/>
          <w:szCs w:val="24"/>
          <w14:ligatures w14:val="none"/>
        </w:rPr>
        <w:lastRenderedPageBreak/>
        <w:t>part</w:t>
      </w:r>
      <w:proofErr w:type="gramEnd"/>
      <w:r w:rsidRPr="00FB4E83">
        <w:rPr>
          <w:rFonts w:ascii="Times New Roman" w:eastAsia="SimSun" w:hAnsi="Times New Roman" w:cs="Times New Roman" w:hint="eastAsia"/>
          <w:bCs/>
          <w:sz w:val="24"/>
          <w:szCs w:val="24"/>
          <w14:ligatures w14:val="none"/>
        </w:rPr>
        <w:t xml:space="preserve"> indicates that allicin at doses of 15mg/kg and 30mg/kg did not cause pathological </w:t>
      </w:r>
      <w:r w:rsidR="001C20FF">
        <w:rPr>
          <w:rFonts w:ascii="Times New Roman" w:eastAsia="SimSun" w:hAnsi="Times New Roman" w:cs="Times New Roman" w:hint="eastAsia"/>
          <w:b/>
          <w:i/>
          <w:iCs/>
          <w:noProof/>
          <w:sz w:val="24"/>
          <w:szCs w:val="24"/>
          <w14:ligatures w14:val="none"/>
        </w:rPr>
        <w:drawing>
          <wp:anchor distT="0" distB="0" distL="114300" distR="114300" simplePos="0" relativeHeight="251658240" behindDoc="0" locked="0" layoutInCell="1" allowOverlap="1" wp14:anchorId="5DED26FE" wp14:editId="060654B0">
            <wp:simplePos x="0" y="0"/>
            <wp:positionH relativeFrom="margin">
              <wp:posOffset>-107315</wp:posOffset>
            </wp:positionH>
            <wp:positionV relativeFrom="paragraph">
              <wp:posOffset>933450</wp:posOffset>
            </wp:positionV>
            <wp:extent cx="5267325" cy="6172200"/>
            <wp:effectExtent l="0" t="0" r="9525" b="0"/>
            <wp:wrapSquare wrapText="bothSides"/>
            <wp:docPr id="668194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325" cy="617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E83">
        <w:rPr>
          <w:rFonts w:ascii="Times New Roman" w:eastAsia="SimSun" w:hAnsi="Times New Roman" w:cs="Times New Roman" w:hint="eastAsia"/>
          <w:bCs/>
          <w:sz w:val="24"/>
          <w:szCs w:val="24"/>
          <w14:ligatures w14:val="none"/>
        </w:rPr>
        <w:t>damage to the liver and kidneys of rats.</w:t>
      </w:r>
    </w:p>
    <w:p w14:paraId="5A6C8AB4" w14:textId="77777777" w:rsidR="001C20FF" w:rsidRDefault="001C20FF" w:rsidP="00354AA7">
      <w:pPr>
        <w:widowControl/>
        <w:autoSpaceDE w:val="0"/>
        <w:autoSpaceDN w:val="0"/>
        <w:adjustRightInd w:val="0"/>
        <w:spacing w:before="120" w:after="240"/>
        <w:rPr>
          <w:rFonts w:ascii="Times New Roman" w:eastAsia="SimSun" w:hAnsi="Times New Roman" w:cs="Times New Roman"/>
          <w:b/>
          <w:szCs w:val="21"/>
          <w14:ligatures w14:val="none"/>
        </w:rPr>
      </w:pPr>
    </w:p>
    <w:p w14:paraId="096C988E" w14:textId="1C21DEC9" w:rsidR="00354AA7" w:rsidRPr="00354AA7" w:rsidRDefault="00354AA7" w:rsidP="00354AA7">
      <w:pPr>
        <w:widowControl/>
        <w:autoSpaceDE w:val="0"/>
        <w:autoSpaceDN w:val="0"/>
        <w:adjustRightInd w:val="0"/>
        <w:spacing w:before="120" w:after="240"/>
        <w:rPr>
          <w:rFonts w:ascii="Times New Roman" w:eastAsia="SimSun" w:hAnsi="Times New Roman" w:cs="Times New Roman"/>
          <w:szCs w:val="21"/>
          <w14:ligatures w14:val="none"/>
        </w:rPr>
      </w:pPr>
      <w:r w:rsidRPr="00354AA7">
        <w:rPr>
          <w:rFonts w:ascii="Times New Roman" w:eastAsia="SimSun" w:hAnsi="Times New Roman" w:cs="Times New Roman"/>
          <w:b/>
          <w:szCs w:val="21"/>
          <w14:ligatures w14:val="none"/>
        </w:rPr>
        <w:t xml:space="preserve">Figure S1: </w:t>
      </w:r>
      <w:r w:rsidRPr="00354AA7">
        <w:rPr>
          <w:rFonts w:ascii="Times New Roman" w:eastAsia="SimSun" w:hAnsi="Times New Roman" w:cs="Times New Roman"/>
          <w:szCs w:val="21"/>
          <w14:ligatures w14:val="none"/>
        </w:rPr>
        <w:t xml:space="preserve">Effects of different doses of </w:t>
      </w:r>
      <w:r w:rsidR="007C4A5F">
        <w:rPr>
          <w:rFonts w:ascii="Times New Roman" w:eastAsia="SimSun" w:hAnsi="Times New Roman" w:cs="Times New Roman" w:hint="eastAsia"/>
          <w:szCs w:val="21"/>
          <w14:ligatures w14:val="none"/>
        </w:rPr>
        <w:t>allicin</w:t>
      </w:r>
      <w:r w:rsidRPr="00354AA7">
        <w:rPr>
          <w:rFonts w:ascii="Times New Roman" w:eastAsia="SimSun" w:hAnsi="Times New Roman" w:cs="Times New Roman"/>
          <w:szCs w:val="21"/>
          <w14:ligatures w14:val="none"/>
        </w:rPr>
        <w:t xml:space="preserve"> on </w:t>
      </w:r>
      <w:r w:rsidRPr="00354AA7">
        <w:rPr>
          <w:rFonts w:ascii="Times New Roman" w:eastAsia="SimSun" w:hAnsi="Times New Roman" w:cs="Times New Roman" w:hint="eastAsia"/>
          <w:szCs w:val="21"/>
          <w14:ligatures w14:val="none"/>
        </w:rPr>
        <w:t>the</w:t>
      </w:r>
      <w:r w:rsidRPr="00354AA7">
        <w:rPr>
          <w:rFonts w:ascii="Times New Roman" w:eastAsia="SimSun" w:hAnsi="Times New Roman" w:cs="Times New Roman"/>
          <w:szCs w:val="21"/>
          <w14:ligatures w14:val="none"/>
        </w:rPr>
        <w:t xml:space="preserve"> liver and kidney of </w:t>
      </w:r>
      <w:r w:rsidR="003C6B71">
        <w:rPr>
          <w:rFonts w:ascii="Times New Roman" w:eastAsia="SimSun" w:hAnsi="Times New Roman" w:cs="Times New Roman" w:hint="eastAsia"/>
          <w:szCs w:val="21"/>
          <w14:ligatures w14:val="none"/>
        </w:rPr>
        <w:t>rat</w:t>
      </w:r>
      <w:r w:rsidRPr="00354AA7">
        <w:rPr>
          <w:rFonts w:ascii="Times New Roman" w:eastAsia="SimSun" w:hAnsi="Times New Roman" w:cs="Times New Roman"/>
          <w:szCs w:val="21"/>
          <w14:ligatures w14:val="none"/>
        </w:rPr>
        <w:t>.</w:t>
      </w:r>
      <w:r w:rsidRPr="00354AA7">
        <w:rPr>
          <w:rFonts w:hint="eastAsia"/>
          <w:sz w:val="18"/>
          <w:szCs w:val="21"/>
          <w14:ligatures w14:val="none"/>
        </w:rPr>
        <w:t xml:space="preserve"> </w:t>
      </w:r>
      <w:r w:rsidRPr="00354AA7">
        <w:rPr>
          <w:rFonts w:ascii="Times New Roman" w:eastAsia="SimSun" w:hAnsi="Times New Roman" w:cs="Times New Roman"/>
          <w:szCs w:val="21"/>
          <w14:ligatures w14:val="none"/>
        </w:rPr>
        <w:t>(A)</w:t>
      </w:r>
      <w:r w:rsidRPr="00354AA7">
        <w:rPr>
          <w14:ligatures w14:val="none"/>
        </w:rPr>
        <w:t xml:space="preserve"> </w:t>
      </w:r>
      <w:r w:rsidRPr="00354AA7">
        <w:rPr>
          <w:rFonts w:ascii="Times New Roman" w:eastAsia="SimSun" w:hAnsi="Times New Roman" w:cs="Times New Roman"/>
          <w:szCs w:val="21"/>
          <w14:ligatures w14:val="none"/>
        </w:rPr>
        <w:t xml:space="preserve">HE pathological section of liver tissue of </w:t>
      </w:r>
      <w:r>
        <w:rPr>
          <w:rFonts w:ascii="Times New Roman" w:eastAsia="SimSun" w:hAnsi="Times New Roman" w:cs="Times New Roman" w:hint="eastAsia"/>
          <w:szCs w:val="21"/>
          <w14:ligatures w14:val="none"/>
        </w:rPr>
        <w:t>rat</w:t>
      </w:r>
      <w:r w:rsidRPr="00354AA7">
        <w:rPr>
          <w:rFonts w:ascii="Times New Roman" w:eastAsia="SimSun" w:hAnsi="Times New Roman" w:cs="Times New Roman"/>
          <w:szCs w:val="21"/>
          <w14:ligatures w14:val="none"/>
        </w:rPr>
        <w:t>. (B) The activity of ALT in the serum. (C)</w:t>
      </w:r>
      <w:r w:rsidRPr="00354AA7">
        <w:rPr>
          <w14:ligatures w14:val="none"/>
        </w:rPr>
        <w:t xml:space="preserve"> </w:t>
      </w:r>
      <w:r w:rsidRPr="00354AA7">
        <w:rPr>
          <w:rFonts w:ascii="Times New Roman" w:eastAsia="SimSun" w:hAnsi="Times New Roman" w:cs="Times New Roman"/>
          <w:szCs w:val="21"/>
          <w14:ligatures w14:val="none"/>
        </w:rPr>
        <w:t xml:space="preserve">The activity of AST in the serum. (D) HE pathological section of kidney tissue of </w:t>
      </w:r>
      <w:r>
        <w:rPr>
          <w:rFonts w:ascii="Times New Roman" w:eastAsia="SimSun" w:hAnsi="Times New Roman" w:cs="Times New Roman" w:hint="eastAsia"/>
          <w:szCs w:val="21"/>
          <w14:ligatures w14:val="none"/>
        </w:rPr>
        <w:t>rat</w:t>
      </w:r>
      <w:r w:rsidRPr="00354AA7">
        <w:rPr>
          <w:rFonts w:ascii="Times New Roman" w:eastAsia="SimSun" w:hAnsi="Times New Roman" w:cs="Times New Roman"/>
          <w:szCs w:val="21"/>
          <w14:ligatures w14:val="none"/>
        </w:rPr>
        <w:t>. (E) The activity of Cre in the serum.</w:t>
      </w:r>
      <w:r w:rsidRPr="00354AA7">
        <w:rPr>
          <w:rFonts w:hint="eastAsia"/>
          <w:sz w:val="18"/>
          <w:szCs w:val="21"/>
          <w14:ligatures w14:val="none"/>
        </w:rPr>
        <w:t xml:space="preserve"> </w:t>
      </w:r>
      <w:r w:rsidRPr="00354AA7">
        <w:rPr>
          <w:rFonts w:ascii="Times New Roman" w:eastAsia="SimSun" w:hAnsi="Times New Roman" w:cs="Times New Roman"/>
          <w:szCs w:val="21"/>
          <w14:ligatures w14:val="none"/>
        </w:rPr>
        <w:t>(F)</w:t>
      </w:r>
      <w:r w:rsidRPr="00354AA7">
        <w:rPr>
          <w:rFonts w:hint="eastAsia"/>
          <w:sz w:val="18"/>
          <w:szCs w:val="21"/>
          <w14:ligatures w14:val="none"/>
        </w:rPr>
        <w:t xml:space="preserve"> </w:t>
      </w:r>
      <w:r w:rsidRPr="00354AA7">
        <w:rPr>
          <w:rFonts w:ascii="Times New Roman" w:hAnsi="Times New Roman" w:cs="Times New Roman"/>
          <w:szCs w:val="21"/>
          <w14:ligatures w14:val="none"/>
        </w:rPr>
        <w:t>The activity of BUN in the serum</w:t>
      </w:r>
      <w:r w:rsidRPr="00354AA7">
        <w:rPr>
          <w:rFonts w:ascii="Times New Roman" w:eastAsia="SimSun" w:hAnsi="Times New Roman" w:cs="Times New Roman"/>
          <w:szCs w:val="24"/>
          <w14:ligatures w14:val="none"/>
        </w:rPr>
        <w:t>.</w:t>
      </w:r>
      <w:r w:rsidRPr="00354AA7">
        <w:rPr>
          <w:rFonts w:ascii="Times New Roman" w:hAnsi="Times New Roman" w:cs="Times New Roman"/>
          <w:szCs w:val="24"/>
          <w14:ligatures w14:val="none"/>
        </w:rPr>
        <w:t xml:space="preserve"> </w:t>
      </w:r>
      <w:r w:rsidRPr="00354AA7">
        <w:rPr>
          <w:rFonts w:ascii="Times New Roman" w:eastAsia="SimSun" w:hAnsi="Times New Roman" w:cs="Times New Roman"/>
          <w:szCs w:val="24"/>
          <w14:ligatures w14:val="none"/>
        </w:rPr>
        <w:t xml:space="preserve">Data are expressed as mean ± SEM for </w:t>
      </w:r>
      <w:r>
        <w:rPr>
          <w:rFonts w:ascii="Times New Roman" w:eastAsia="SimSun" w:hAnsi="Times New Roman" w:cs="Times New Roman" w:hint="eastAsia"/>
          <w:szCs w:val="24"/>
          <w14:ligatures w14:val="none"/>
        </w:rPr>
        <w:t>7</w:t>
      </w:r>
      <w:r w:rsidRPr="00354AA7">
        <w:rPr>
          <w:rFonts w:ascii="Times New Roman" w:eastAsia="SimSun" w:hAnsi="Times New Roman" w:cs="Times New Roman"/>
          <w:szCs w:val="24"/>
          <w14:ligatures w14:val="none"/>
        </w:rPr>
        <w:t xml:space="preserve"> </w:t>
      </w:r>
      <w:r>
        <w:rPr>
          <w:rFonts w:ascii="Times New Roman" w:eastAsia="SimSun" w:hAnsi="Times New Roman" w:cs="Times New Roman" w:hint="eastAsia"/>
          <w:szCs w:val="24"/>
          <w14:ligatures w14:val="none"/>
        </w:rPr>
        <w:t>rat</w:t>
      </w:r>
      <w:r w:rsidRPr="00354AA7">
        <w:rPr>
          <w:rFonts w:ascii="Times New Roman" w:eastAsia="SimSun" w:hAnsi="Times New Roman" w:cs="Times New Roman"/>
          <w:szCs w:val="24"/>
          <w14:ligatures w14:val="none"/>
        </w:rPr>
        <w:t xml:space="preserve">s in each group. </w:t>
      </w:r>
    </w:p>
    <w:p w14:paraId="72148C31" w14:textId="79C26835" w:rsidR="007C4A5F" w:rsidRPr="003F1CED" w:rsidRDefault="007C4A5F" w:rsidP="00C2229D">
      <w:pPr>
        <w:widowControl/>
        <w:jc w:val="left"/>
        <w:rPr>
          <w:rFonts w:ascii="Times New Roman" w:eastAsia="SimSun" w:hAnsi="Times New Roman" w:cs="Times New Roman"/>
          <w:sz w:val="24"/>
          <w14:ligatures w14:val="none"/>
        </w:rPr>
      </w:pPr>
    </w:p>
    <w:sectPr w:rsidR="007C4A5F" w:rsidRPr="003F1CED">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005A" w14:textId="77777777" w:rsidR="00CF5B84" w:rsidRDefault="00CF5B84" w:rsidP="003F1CED">
      <w:r>
        <w:separator/>
      </w:r>
    </w:p>
  </w:endnote>
  <w:endnote w:type="continuationSeparator" w:id="0">
    <w:p w14:paraId="7B80E949" w14:textId="77777777" w:rsidR="00CF5B84" w:rsidRDefault="00CF5B84" w:rsidP="003F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8EAF" w14:textId="191D6040" w:rsidR="001C20FF" w:rsidRDefault="001C20FF">
    <w:pPr>
      <w:pStyle w:val="Footer"/>
    </w:pPr>
    <w:r>
      <w:rPr>
        <w:noProof/>
      </w:rPr>
      <mc:AlternateContent>
        <mc:Choice Requires="wps">
          <w:drawing>
            <wp:anchor distT="0" distB="0" distL="0" distR="0" simplePos="0" relativeHeight="251659264" behindDoc="0" locked="0" layoutInCell="1" allowOverlap="1" wp14:anchorId="170240FB" wp14:editId="252C621B">
              <wp:simplePos x="635" y="635"/>
              <wp:positionH relativeFrom="page">
                <wp:align>left</wp:align>
              </wp:positionH>
              <wp:positionV relativeFrom="page">
                <wp:align>bottom</wp:align>
              </wp:positionV>
              <wp:extent cx="2085975" cy="324485"/>
              <wp:effectExtent l="0" t="0" r="9525" b="0"/>
              <wp:wrapNone/>
              <wp:docPr id="117758468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D706D74" w14:textId="1D23E338"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0240FB"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3D706D74" w14:textId="1D23E338"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3C6A" w14:textId="027D0BDF" w:rsidR="001C20FF" w:rsidRDefault="001C20FF">
    <w:pPr>
      <w:pStyle w:val="Footer"/>
    </w:pPr>
    <w:r>
      <w:rPr>
        <w:noProof/>
      </w:rPr>
      <mc:AlternateContent>
        <mc:Choice Requires="wps">
          <w:drawing>
            <wp:anchor distT="0" distB="0" distL="0" distR="0" simplePos="0" relativeHeight="251660288" behindDoc="0" locked="0" layoutInCell="1" allowOverlap="1" wp14:anchorId="123D1D91" wp14:editId="1684F70C">
              <wp:simplePos x="1143000" y="9906000"/>
              <wp:positionH relativeFrom="page">
                <wp:align>left</wp:align>
              </wp:positionH>
              <wp:positionV relativeFrom="page">
                <wp:align>bottom</wp:align>
              </wp:positionV>
              <wp:extent cx="2085975" cy="324485"/>
              <wp:effectExtent l="0" t="0" r="9525" b="0"/>
              <wp:wrapNone/>
              <wp:docPr id="1594684405"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12E3F8B" w14:textId="0648808E"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D1D91"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212E3F8B" w14:textId="0648808E"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1A5" w14:textId="41AB3C03" w:rsidR="001C20FF" w:rsidRDefault="001C20FF">
    <w:pPr>
      <w:pStyle w:val="Footer"/>
    </w:pPr>
    <w:r>
      <w:rPr>
        <w:noProof/>
      </w:rPr>
      <mc:AlternateContent>
        <mc:Choice Requires="wps">
          <w:drawing>
            <wp:anchor distT="0" distB="0" distL="0" distR="0" simplePos="0" relativeHeight="251658240" behindDoc="0" locked="0" layoutInCell="1" allowOverlap="1" wp14:anchorId="612A1B7A" wp14:editId="50B340A9">
              <wp:simplePos x="635" y="635"/>
              <wp:positionH relativeFrom="page">
                <wp:align>left</wp:align>
              </wp:positionH>
              <wp:positionV relativeFrom="page">
                <wp:align>bottom</wp:align>
              </wp:positionV>
              <wp:extent cx="2085975" cy="324485"/>
              <wp:effectExtent l="0" t="0" r="9525" b="0"/>
              <wp:wrapNone/>
              <wp:docPr id="10848588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3C64F25" w14:textId="29D7058D"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2A1B7A"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43C64F25" w14:textId="29D7058D" w:rsidR="001C20FF" w:rsidRPr="001C20FF" w:rsidRDefault="001C20FF" w:rsidP="001C20FF">
                    <w:pPr>
                      <w:rPr>
                        <w:rFonts w:ascii="Rockwell" w:eastAsia="Rockwell" w:hAnsi="Rockwell" w:cs="Rockwell"/>
                        <w:noProof/>
                        <w:color w:val="0078D7"/>
                        <w:sz w:val="18"/>
                        <w:szCs w:val="18"/>
                      </w:rPr>
                    </w:pPr>
                    <w:r w:rsidRPr="001C20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2443" w14:textId="77777777" w:rsidR="00CF5B84" w:rsidRDefault="00CF5B84" w:rsidP="003F1CED">
      <w:r>
        <w:separator/>
      </w:r>
    </w:p>
  </w:footnote>
  <w:footnote w:type="continuationSeparator" w:id="0">
    <w:p w14:paraId="1781E40E" w14:textId="77777777" w:rsidR="00CF5B84" w:rsidRDefault="00CF5B84" w:rsidP="003F1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A"/>
    <w:rsid w:val="00037551"/>
    <w:rsid w:val="00113263"/>
    <w:rsid w:val="00125310"/>
    <w:rsid w:val="00154DEB"/>
    <w:rsid w:val="00157439"/>
    <w:rsid w:val="001718D1"/>
    <w:rsid w:val="001C20FF"/>
    <w:rsid w:val="00297C85"/>
    <w:rsid w:val="00344CD9"/>
    <w:rsid w:val="00354AA7"/>
    <w:rsid w:val="0038537E"/>
    <w:rsid w:val="003A64DF"/>
    <w:rsid w:val="003C10CE"/>
    <w:rsid w:val="003C6B71"/>
    <w:rsid w:val="003F1CED"/>
    <w:rsid w:val="003F3173"/>
    <w:rsid w:val="00403DCC"/>
    <w:rsid w:val="00420F9A"/>
    <w:rsid w:val="00435A95"/>
    <w:rsid w:val="00466615"/>
    <w:rsid w:val="00490FCD"/>
    <w:rsid w:val="004D4864"/>
    <w:rsid w:val="004E084A"/>
    <w:rsid w:val="004E34BE"/>
    <w:rsid w:val="0053598E"/>
    <w:rsid w:val="00573916"/>
    <w:rsid w:val="00584BE3"/>
    <w:rsid w:val="005F58C2"/>
    <w:rsid w:val="00632A6C"/>
    <w:rsid w:val="007A396D"/>
    <w:rsid w:val="007C4A5F"/>
    <w:rsid w:val="00824D69"/>
    <w:rsid w:val="00840FBC"/>
    <w:rsid w:val="008846B1"/>
    <w:rsid w:val="008F2693"/>
    <w:rsid w:val="00980F8A"/>
    <w:rsid w:val="009B213D"/>
    <w:rsid w:val="009C22EA"/>
    <w:rsid w:val="009F4745"/>
    <w:rsid w:val="00A2013D"/>
    <w:rsid w:val="00AD4245"/>
    <w:rsid w:val="00B30A78"/>
    <w:rsid w:val="00B4718E"/>
    <w:rsid w:val="00B83F48"/>
    <w:rsid w:val="00C2229D"/>
    <w:rsid w:val="00CF40E9"/>
    <w:rsid w:val="00CF5B84"/>
    <w:rsid w:val="00D23295"/>
    <w:rsid w:val="00D3182A"/>
    <w:rsid w:val="00D9513A"/>
    <w:rsid w:val="00DE0E15"/>
    <w:rsid w:val="00E10498"/>
    <w:rsid w:val="00E10A7A"/>
    <w:rsid w:val="00E503B2"/>
    <w:rsid w:val="00E810F1"/>
    <w:rsid w:val="00ED1084"/>
    <w:rsid w:val="00F04511"/>
    <w:rsid w:val="00F17D42"/>
    <w:rsid w:val="00FB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C8939"/>
  <w15:chartTrackingRefBased/>
  <w15:docId w15:val="{5A2BAA53-6B91-40AF-B640-B6F0E9F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CE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F1CED"/>
    <w:rPr>
      <w:sz w:val="18"/>
      <w:szCs w:val="18"/>
    </w:rPr>
  </w:style>
  <w:style w:type="paragraph" w:styleId="Footer">
    <w:name w:val="footer"/>
    <w:basedOn w:val="Normal"/>
    <w:link w:val="FooterChar"/>
    <w:uiPriority w:val="99"/>
    <w:unhideWhenUsed/>
    <w:rsid w:val="003F1C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F1CED"/>
    <w:rPr>
      <w:sz w:val="18"/>
      <w:szCs w:val="18"/>
    </w:rPr>
  </w:style>
  <w:style w:type="character" w:styleId="CommentReference">
    <w:name w:val="annotation reference"/>
    <w:basedOn w:val="DefaultParagraphFont"/>
    <w:uiPriority w:val="99"/>
    <w:semiHidden/>
    <w:unhideWhenUsed/>
    <w:rsid w:val="0053598E"/>
    <w:rPr>
      <w:sz w:val="16"/>
      <w:szCs w:val="16"/>
    </w:rPr>
  </w:style>
  <w:style w:type="paragraph" w:styleId="CommentText">
    <w:name w:val="annotation text"/>
    <w:basedOn w:val="Normal"/>
    <w:link w:val="CommentTextChar"/>
    <w:uiPriority w:val="99"/>
    <w:unhideWhenUsed/>
    <w:rsid w:val="0053598E"/>
    <w:rPr>
      <w:sz w:val="20"/>
      <w:szCs w:val="20"/>
    </w:rPr>
  </w:style>
  <w:style w:type="character" w:customStyle="1" w:styleId="CommentTextChar">
    <w:name w:val="Comment Text Char"/>
    <w:basedOn w:val="DefaultParagraphFont"/>
    <w:link w:val="CommentText"/>
    <w:uiPriority w:val="99"/>
    <w:rsid w:val="0053598E"/>
    <w:rPr>
      <w:sz w:val="20"/>
      <w:szCs w:val="20"/>
    </w:rPr>
  </w:style>
  <w:style w:type="paragraph" w:styleId="CommentSubject">
    <w:name w:val="annotation subject"/>
    <w:basedOn w:val="CommentText"/>
    <w:next w:val="CommentText"/>
    <w:link w:val="CommentSubjectChar"/>
    <w:uiPriority w:val="99"/>
    <w:semiHidden/>
    <w:unhideWhenUsed/>
    <w:rsid w:val="0053598E"/>
    <w:rPr>
      <w:b/>
      <w:bCs/>
    </w:rPr>
  </w:style>
  <w:style w:type="character" w:customStyle="1" w:styleId="CommentSubjectChar">
    <w:name w:val="Comment Subject Char"/>
    <w:basedOn w:val="CommentTextChar"/>
    <w:link w:val="CommentSubject"/>
    <w:uiPriority w:val="99"/>
    <w:semiHidden/>
    <w:rsid w:val="00535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wuhao906991@163.com</dc:creator>
  <cp:keywords/>
  <dc:description/>
  <cp:lastModifiedBy>Murphy, Alexandra</cp:lastModifiedBy>
  <cp:revision>11</cp:revision>
  <dcterms:created xsi:type="dcterms:W3CDTF">2025-05-13T03:20:00Z</dcterms:created>
  <dcterms:modified xsi:type="dcterms:W3CDTF">2025-08-20T20:13:00Z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8c1290edba190a35602c3ee229874f564d9a0d9e03b131bb1026746c10d0f04a</vt:lpwstr>
  </property>
  <property fmtid="{D5CDD505-2E9C-101B-9397-08002B2CF9AE}" pid="3" name="ClassificationContentMarkingFooterShapeIds">
    <vt:lpwstr>6775cf8,46308429,5f0cf3f5</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2025-08-13T21:42:59Z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8385e340-269a-4012-bbe4-a9c4fe6143d5</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