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F96D6" w14:textId="77777777" w:rsidR="00F8281F" w:rsidRDefault="00000000">
      <w:pPr>
        <w:jc w:val="left"/>
      </w:pPr>
      <w:r>
        <w:rPr>
          <w:rFonts w:ascii="Times New Roman" w:eastAsia="等线" w:hAnsi="Times New Roman" w:cs="Times New Roman"/>
          <w:b/>
          <w:bCs/>
          <w:sz w:val="24"/>
          <w:lang w:bidi="ar"/>
        </w:rPr>
        <w:t>Supplementary Materials Table 1.</w:t>
      </w:r>
      <w:r>
        <w:rPr>
          <w:rFonts w:ascii="Segoe UI" w:eastAsia="Segoe UI" w:hAnsi="Segoe UI" w:cs="Segoe UI"/>
          <w:b/>
          <w:bCs/>
          <w:color w:val="404040"/>
          <w:szCs w:val="22"/>
          <w:shd w:val="clear" w:color="auto" w:fill="FFFFFF"/>
          <w:lang w:bidi="ar"/>
        </w:rPr>
        <w:t xml:space="preserve"> </w:t>
      </w:r>
      <w:r>
        <w:rPr>
          <w:rFonts w:ascii="Times New Roman" w:eastAsia="等线" w:hAnsi="Times New Roman" w:cs="Times New Roman"/>
          <w:b/>
          <w:bCs/>
          <w:sz w:val="24"/>
          <w:lang w:bidi="ar"/>
        </w:rPr>
        <w:t>Clinical Breakpoint for Antimicrobial Susceptibility Testing</w:t>
      </w:r>
    </w:p>
    <w:tbl>
      <w:tblPr>
        <w:tblpPr w:leftFromText="180" w:rightFromText="180" w:vertAnchor="text" w:horzAnchor="page" w:tblpX="2097" w:tblpY="277"/>
        <w:tblOverlap w:val="never"/>
        <w:tblW w:w="7574" w:type="dxa"/>
        <w:tblLayout w:type="fixed"/>
        <w:tblLook w:val="04A0" w:firstRow="1" w:lastRow="0" w:firstColumn="1" w:lastColumn="0" w:noHBand="0" w:noVBand="1"/>
      </w:tblPr>
      <w:tblGrid>
        <w:gridCol w:w="1862"/>
        <w:gridCol w:w="1615"/>
        <w:gridCol w:w="1643"/>
        <w:gridCol w:w="2454"/>
      </w:tblGrid>
      <w:tr w:rsidR="00F8281F" w:rsidRPr="00ED042E" w14:paraId="21096566" w14:textId="77777777">
        <w:tc>
          <w:tcPr>
            <w:tcW w:w="186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7D79CB2" w14:textId="77777777" w:rsidR="00F8281F" w:rsidRPr="00ED042E" w:rsidRDefault="00000000" w:rsidP="00ED042E">
            <w:pPr>
              <w:spacing w:before="100" w:beforeAutospacing="1" w:line="360" w:lineRule="auto"/>
              <w:rPr>
                <w:rFonts w:ascii="Times New Roman" w:hAnsi="Times New Roman" w:cs="Times New Roman"/>
                <w:szCs w:val="21"/>
              </w:rPr>
            </w:pPr>
            <w:r w:rsidRPr="00ED042E">
              <w:rPr>
                <w:rFonts w:ascii="Times New Roman" w:hAnsi="Times New Roman" w:cs="Times New Roman"/>
                <w:szCs w:val="21"/>
              </w:rPr>
              <w:t>Antibacterial agent</w:t>
            </w:r>
          </w:p>
        </w:tc>
        <w:tc>
          <w:tcPr>
            <w:tcW w:w="571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78D65C6" w14:textId="2B8E9385" w:rsidR="00F8281F" w:rsidRPr="00ED042E" w:rsidRDefault="00000000" w:rsidP="00A77F0D">
            <w:pPr>
              <w:spacing w:line="360" w:lineRule="auto"/>
              <w:ind w:firstLineChars="400" w:firstLine="840"/>
              <w:rPr>
                <w:rFonts w:ascii="Times New Roman" w:hAnsi="Times New Roman" w:cs="Times New Roman"/>
                <w:szCs w:val="21"/>
              </w:rPr>
            </w:pPr>
            <w:r w:rsidRPr="00ED042E">
              <w:rPr>
                <w:rFonts w:ascii="Times New Roman" w:hAnsi="Times New Roman" w:cs="Times New Roman"/>
                <w:szCs w:val="21"/>
              </w:rPr>
              <w:t>Interpretive Categories and Breakpoints</w:t>
            </w:r>
          </w:p>
        </w:tc>
      </w:tr>
      <w:tr w:rsidR="00F8281F" w:rsidRPr="00ED042E" w14:paraId="1FE52223" w14:textId="77777777">
        <w:trPr>
          <w:trHeight w:val="240"/>
        </w:trPr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68E0D72" w14:textId="77777777" w:rsidR="00F8281F" w:rsidRPr="00ED042E" w:rsidRDefault="00F8281F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608B972" w14:textId="77777777" w:rsidR="00F8281F" w:rsidRPr="00ED042E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D042E">
              <w:rPr>
                <w:rFonts w:ascii="Times New Roman" w:hAnsi="Times New Roman" w:cs="Times New Roman"/>
                <w:szCs w:val="21"/>
              </w:rPr>
              <w:t>S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B8A93C4" w14:textId="77777777" w:rsidR="00F8281F" w:rsidRPr="00ED042E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D042E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16F3A10" w14:textId="77777777" w:rsidR="00F8281F" w:rsidRPr="00ED042E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D042E">
              <w:rPr>
                <w:rFonts w:ascii="Times New Roman" w:hAnsi="Times New Roman" w:cs="Times New Roman"/>
                <w:szCs w:val="21"/>
              </w:rPr>
              <w:t>R</w:t>
            </w:r>
          </w:p>
        </w:tc>
      </w:tr>
      <w:tr w:rsidR="00F8281F" w:rsidRPr="00ED042E" w14:paraId="26D0A084" w14:textId="77777777">
        <w:trPr>
          <w:trHeight w:val="86"/>
        </w:trPr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EDE15" w14:textId="77777777" w:rsidR="00F8281F" w:rsidRPr="00ED042E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ED042E">
              <w:rPr>
                <w:rFonts w:ascii="Times New Roman" w:hAnsi="Times New Roman" w:cs="Times New Roman"/>
                <w:color w:val="000000"/>
                <w:szCs w:val="21"/>
              </w:rPr>
              <w:t>Ceftriaxone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55D2C" w14:textId="7F7C1884" w:rsidR="00F8281F" w:rsidRPr="00ED042E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D042E">
              <w:rPr>
                <w:rFonts w:ascii="Times New Roman" w:hAnsi="Times New Roman" w:cs="Times New Roman"/>
                <w:szCs w:val="21"/>
              </w:rPr>
              <w:t>≤8</w:t>
            </w:r>
            <w:r w:rsidR="00ED042E" w:rsidRPr="00ED042E">
              <w:rPr>
                <w:rFonts w:ascii="Times New Roman" w:hAnsi="Times New Roman" w:cs="Times New Roman"/>
                <w:szCs w:val="21"/>
              </w:rPr>
              <w:t>μg/ml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4DE78" w14:textId="56C58566" w:rsidR="00F8281F" w:rsidRPr="00ED042E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042E">
              <w:rPr>
                <w:rFonts w:ascii="Times New Roman" w:hAnsi="Times New Roman" w:cs="Times New Roman"/>
                <w:color w:val="000000"/>
                <w:szCs w:val="21"/>
              </w:rPr>
              <w:t>16-32</w:t>
            </w:r>
            <w:r w:rsidR="00ED042E" w:rsidRPr="00ED042E">
              <w:rPr>
                <w:rFonts w:ascii="Times New Roman" w:hAnsi="Times New Roman" w:cs="Times New Roman"/>
                <w:szCs w:val="21"/>
              </w:rPr>
              <w:t>μg/ml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40EF2" w14:textId="729B8739" w:rsidR="00F8281F" w:rsidRPr="00ED042E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042E">
              <w:rPr>
                <w:rFonts w:ascii="Times New Roman" w:hAnsi="Times New Roman" w:cs="Times New Roman"/>
                <w:color w:val="000000"/>
                <w:szCs w:val="21"/>
              </w:rPr>
              <w:t>≥64</w:t>
            </w:r>
            <w:r w:rsidR="00ED042E" w:rsidRPr="00ED042E">
              <w:rPr>
                <w:rFonts w:ascii="Times New Roman" w:hAnsi="Times New Roman" w:cs="Times New Roman"/>
                <w:szCs w:val="21"/>
              </w:rPr>
              <w:t>μg/ml</w:t>
            </w:r>
          </w:p>
        </w:tc>
      </w:tr>
      <w:tr w:rsidR="00F8281F" w:rsidRPr="00ED042E" w14:paraId="6975660C" w14:textId="77777777"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CC70A" w14:textId="77777777" w:rsidR="00F8281F" w:rsidRPr="00ED042E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042E">
              <w:rPr>
                <w:rFonts w:ascii="Times New Roman" w:hAnsi="Times New Roman" w:cs="Times New Roman"/>
                <w:color w:val="000000"/>
                <w:szCs w:val="21"/>
              </w:rPr>
              <w:t>Cefepime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8FA87" w14:textId="539F887F" w:rsidR="00F8281F" w:rsidRPr="00ED042E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042E">
              <w:rPr>
                <w:rFonts w:ascii="Times New Roman" w:hAnsi="Times New Roman" w:cs="Times New Roman"/>
                <w:szCs w:val="21"/>
              </w:rPr>
              <w:t>≤8</w:t>
            </w:r>
            <w:r w:rsidR="00ED042E" w:rsidRPr="00ED042E">
              <w:rPr>
                <w:rFonts w:ascii="Times New Roman" w:hAnsi="Times New Roman" w:cs="Times New Roman"/>
                <w:szCs w:val="21"/>
              </w:rPr>
              <w:t>μg/ml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9915C" w14:textId="2A445478" w:rsidR="00F8281F" w:rsidRPr="00ED042E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042E"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  <w:r w:rsidR="00ED042E" w:rsidRPr="00ED042E">
              <w:rPr>
                <w:rFonts w:ascii="Times New Roman" w:hAnsi="Times New Roman" w:cs="Times New Roman"/>
                <w:szCs w:val="21"/>
              </w:rPr>
              <w:t>μg/ml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E8D77" w14:textId="1A693B64" w:rsidR="00F8281F" w:rsidRPr="00ED042E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042E"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  <w:r w:rsidR="00ED042E" w:rsidRPr="00ED042E">
              <w:rPr>
                <w:rFonts w:ascii="Times New Roman" w:hAnsi="Times New Roman" w:cs="Times New Roman"/>
                <w:szCs w:val="21"/>
              </w:rPr>
              <w:t>μg/ml</w:t>
            </w:r>
          </w:p>
        </w:tc>
      </w:tr>
      <w:tr w:rsidR="00F8281F" w:rsidRPr="00ED042E" w14:paraId="416710E3" w14:textId="77777777"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57F51" w14:textId="77777777" w:rsidR="00F8281F" w:rsidRPr="00ED042E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042E">
              <w:rPr>
                <w:rFonts w:ascii="Times New Roman" w:hAnsi="Times New Roman" w:cs="Times New Roman"/>
                <w:color w:val="000000"/>
                <w:szCs w:val="21"/>
              </w:rPr>
              <w:t>Imipenem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6AA7D" w14:textId="680E1175" w:rsidR="00F8281F" w:rsidRPr="00ED042E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042E">
              <w:rPr>
                <w:rFonts w:ascii="Times New Roman" w:hAnsi="Times New Roman" w:cs="Times New Roman"/>
                <w:szCs w:val="21"/>
              </w:rPr>
              <w:t>≤2</w:t>
            </w:r>
            <w:r w:rsidR="00ED042E" w:rsidRPr="00ED042E">
              <w:rPr>
                <w:rFonts w:ascii="Times New Roman" w:hAnsi="Times New Roman" w:cs="Times New Roman"/>
                <w:szCs w:val="21"/>
              </w:rPr>
              <w:t>μg/ml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CF882" w14:textId="0217D9E0" w:rsidR="00F8281F" w:rsidRPr="00ED042E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042E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  <w:r w:rsidR="00ED042E" w:rsidRPr="00ED042E">
              <w:rPr>
                <w:rFonts w:ascii="Times New Roman" w:hAnsi="Times New Roman" w:cs="Times New Roman"/>
                <w:szCs w:val="21"/>
              </w:rPr>
              <w:t>μg/ml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F76EB" w14:textId="52181CDB" w:rsidR="00F8281F" w:rsidRPr="00ED042E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042E">
              <w:rPr>
                <w:rFonts w:ascii="Times New Roman" w:hAnsi="Times New Roman" w:cs="Times New Roman"/>
                <w:color w:val="000000"/>
                <w:szCs w:val="21"/>
              </w:rPr>
              <w:t>≥8</w:t>
            </w:r>
            <w:r w:rsidR="00ED042E" w:rsidRPr="00ED042E">
              <w:rPr>
                <w:rFonts w:ascii="Times New Roman" w:hAnsi="Times New Roman" w:cs="Times New Roman"/>
                <w:szCs w:val="21"/>
              </w:rPr>
              <w:t>μg/ml</w:t>
            </w:r>
          </w:p>
        </w:tc>
      </w:tr>
      <w:tr w:rsidR="00F8281F" w:rsidRPr="00ED042E" w14:paraId="599C5276" w14:textId="77777777"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7AEDBD58" w14:textId="77777777" w:rsidR="00F8281F" w:rsidRPr="00ED042E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042E">
              <w:rPr>
                <w:rFonts w:ascii="Times New Roman" w:hAnsi="Times New Roman" w:cs="Times New Roman"/>
                <w:color w:val="000000"/>
                <w:szCs w:val="21"/>
              </w:rPr>
              <w:t>Gentamicin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5D753" w14:textId="7EC0A05A" w:rsidR="00F8281F" w:rsidRPr="00ED042E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042E">
              <w:rPr>
                <w:rFonts w:ascii="Times New Roman" w:hAnsi="Times New Roman" w:cs="Times New Roman"/>
                <w:szCs w:val="21"/>
              </w:rPr>
              <w:t>≤4</w:t>
            </w:r>
            <w:r w:rsidR="00ED042E" w:rsidRPr="00ED042E">
              <w:rPr>
                <w:rFonts w:ascii="Times New Roman" w:hAnsi="Times New Roman" w:cs="Times New Roman"/>
                <w:szCs w:val="21"/>
              </w:rPr>
              <w:t>μg/ml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AE7FE" w14:textId="3ED48E49" w:rsidR="00F8281F" w:rsidRPr="00ED042E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042E"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  <w:r w:rsidR="00ED042E" w:rsidRPr="00ED042E">
              <w:rPr>
                <w:rFonts w:ascii="Times New Roman" w:hAnsi="Times New Roman" w:cs="Times New Roman"/>
                <w:szCs w:val="21"/>
              </w:rPr>
              <w:t>μg/ml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56D4F" w14:textId="7B636E71" w:rsidR="00F8281F" w:rsidRPr="00ED042E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042E">
              <w:rPr>
                <w:rFonts w:ascii="Times New Roman" w:hAnsi="Times New Roman" w:cs="Times New Roman"/>
                <w:color w:val="000000"/>
                <w:szCs w:val="21"/>
              </w:rPr>
              <w:t>≥16</w:t>
            </w:r>
            <w:r w:rsidR="00ED042E" w:rsidRPr="00ED042E">
              <w:rPr>
                <w:rFonts w:ascii="Times New Roman" w:hAnsi="Times New Roman" w:cs="Times New Roman"/>
                <w:szCs w:val="21"/>
              </w:rPr>
              <w:t>μg/ml</w:t>
            </w:r>
          </w:p>
        </w:tc>
      </w:tr>
      <w:tr w:rsidR="00F8281F" w:rsidRPr="00ED042E" w14:paraId="158E0E01" w14:textId="77777777"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825D0" w14:textId="77777777" w:rsidR="00F8281F" w:rsidRPr="00ED042E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042E">
              <w:rPr>
                <w:rFonts w:ascii="Times New Roman" w:hAnsi="Times New Roman" w:cs="Times New Roman"/>
                <w:color w:val="000000"/>
                <w:szCs w:val="21"/>
              </w:rPr>
              <w:t>Tobramycin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0272B" w14:textId="3090E2C8" w:rsidR="00F8281F" w:rsidRPr="00ED042E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042E">
              <w:rPr>
                <w:rFonts w:ascii="Times New Roman" w:hAnsi="Times New Roman" w:cs="Times New Roman"/>
                <w:szCs w:val="21"/>
              </w:rPr>
              <w:t>≤4</w:t>
            </w:r>
            <w:r w:rsidR="00ED042E" w:rsidRPr="00ED042E">
              <w:rPr>
                <w:rFonts w:ascii="Times New Roman" w:hAnsi="Times New Roman" w:cs="Times New Roman"/>
                <w:szCs w:val="21"/>
              </w:rPr>
              <w:t>μg/ml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E4ADB" w14:textId="4158E4B4" w:rsidR="00F8281F" w:rsidRPr="00ED042E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042E"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  <w:r w:rsidR="00ED042E" w:rsidRPr="00ED042E">
              <w:rPr>
                <w:rFonts w:ascii="Times New Roman" w:hAnsi="Times New Roman" w:cs="Times New Roman"/>
                <w:szCs w:val="21"/>
              </w:rPr>
              <w:t>μg/ml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44DCE" w14:textId="0A4AA343" w:rsidR="00F8281F" w:rsidRPr="00ED042E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042E">
              <w:rPr>
                <w:rFonts w:ascii="Times New Roman" w:hAnsi="Times New Roman" w:cs="Times New Roman"/>
                <w:color w:val="000000"/>
                <w:szCs w:val="21"/>
              </w:rPr>
              <w:t>≥16</w:t>
            </w:r>
            <w:r w:rsidR="00ED042E" w:rsidRPr="00ED042E">
              <w:rPr>
                <w:rFonts w:ascii="Times New Roman" w:hAnsi="Times New Roman" w:cs="Times New Roman"/>
                <w:szCs w:val="21"/>
              </w:rPr>
              <w:t>μg/ml</w:t>
            </w:r>
          </w:p>
        </w:tc>
      </w:tr>
      <w:tr w:rsidR="00F8281F" w:rsidRPr="00ED042E" w14:paraId="5840115F" w14:textId="77777777"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86315" w14:textId="77777777" w:rsidR="00F8281F" w:rsidRPr="00ED042E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042E">
              <w:rPr>
                <w:rFonts w:ascii="Times New Roman" w:hAnsi="Times New Roman" w:cs="Times New Roman"/>
                <w:color w:val="000000"/>
                <w:szCs w:val="21"/>
              </w:rPr>
              <w:t>Ciprofloxacin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6A125" w14:textId="6C65FAF5" w:rsidR="00F8281F" w:rsidRPr="00ED042E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042E">
              <w:rPr>
                <w:rFonts w:ascii="Times New Roman" w:hAnsi="Times New Roman" w:cs="Times New Roman"/>
                <w:szCs w:val="21"/>
              </w:rPr>
              <w:t>≤1</w:t>
            </w:r>
            <w:r w:rsidR="00ED042E" w:rsidRPr="00ED042E">
              <w:rPr>
                <w:rFonts w:ascii="Times New Roman" w:hAnsi="Times New Roman" w:cs="Times New Roman"/>
                <w:szCs w:val="21"/>
              </w:rPr>
              <w:t>μg/ml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70E4B" w14:textId="1F597CFF" w:rsidR="00F8281F" w:rsidRPr="00ED042E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042E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  <w:r w:rsidR="00ED042E" w:rsidRPr="00ED042E">
              <w:rPr>
                <w:rFonts w:ascii="Times New Roman" w:hAnsi="Times New Roman" w:cs="Times New Roman"/>
                <w:szCs w:val="21"/>
              </w:rPr>
              <w:t>μg/ml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14B40" w14:textId="471CFD01" w:rsidR="00F8281F" w:rsidRPr="00ED042E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042E">
              <w:rPr>
                <w:rFonts w:ascii="Times New Roman" w:hAnsi="Times New Roman" w:cs="Times New Roman"/>
                <w:color w:val="000000"/>
                <w:szCs w:val="21"/>
              </w:rPr>
              <w:t>≥4</w:t>
            </w:r>
            <w:r w:rsidR="00ED042E" w:rsidRPr="00ED042E">
              <w:rPr>
                <w:rFonts w:ascii="Times New Roman" w:hAnsi="Times New Roman" w:cs="Times New Roman"/>
                <w:szCs w:val="21"/>
              </w:rPr>
              <w:t>μg/ml</w:t>
            </w:r>
          </w:p>
        </w:tc>
      </w:tr>
      <w:tr w:rsidR="00F8281F" w:rsidRPr="00ED042E" w14:paraId="156234F2" w14:textId="77777777"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6B950" w14:textId="77777777" w:rsidR="00F8281F" w:rsidRPr="00ED042E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042E">
              <w:rPr>
                <w:rFonts w:ascii="Times New Roman" w:hAnsi="Times New Roman" w:cs="Times New Roman"/>
                <w:color w:val="000000"/>
                <w:szCs w:val="21"/>
              </w:rPr>
              <w:t>Levofloxacin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C90D3" w14:textId="3E22FC4F" w:rsidR="00F8281F" w:rsidRPr="00ED042E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042E">
              <w:rPr>
                <w:rFonts w:ascii="Times New Roman" w:hAnsi="Times New Roman" w:cs="Times New Roman"/>
                <w:szCs w:val="21"/>
              </w:rPr>
              <w:t>≤2</w:t>
            </w:r>
            <w:r w:rsidR="00ED042E" w:rsidRPr="00ED042E">
              <w:rPr>
                <w:rFonts w:ascii="Times New Roman" w:hAnsi="Times New Roman" w:cs="Times New Roman"/>
                <w:szCs w:val="21"/>
              </w:rPr>
              <w:t>μg/ml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2F23A" w14:textId="5F364095" w:rsidR="00F8281F" w:rsidRPr="00ED042E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042E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  <w:r w:rsidR="00ED042E" w:rsidRPr="00ED042E">
              <w:rPr>
                <w:rFonts w:ascii="Times New Roman" w:hAnsi="Times New Roman" w:cs="Times New Roman"/>
                <w:szCs w:val="21"/>
              </w:rPr>
              <w:t>μg/ml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8F273" w14:textId="3F5884D2" w:rsidR="00F8281F" w:rsidRPr="00ED042E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042E">
              <w:rPr>
                <w:rFonts w:ascii="Times New Roman" w:hAnsi="Times New Roman" w:cs="Times New Roman"/>
                <w:color w:val="000000"/>
                <w:szCs w:val="21"/>
              </w:rPr>
              <w:t>≥8</w:t>
            </w:r>
            <w:r w:rsidR="00ED042E" w:rsidRPr="00ED042E">
              <w:rPr>
                <w:rFonts w:ascii="Times New Roman" w:hAnsi="Times New Roman" w:cs="Times New Roman"/>
                <w:szCs w:val="21"/>
              </w:rPr>
              <w:t>μg/ml</w:t>
            </w:r>
          </w:p>
        </w:tc>
      </w:tr>
      <w:tr w:rsidR="00F8281F" w:rsidRPr="00ED042E" w14:paraId="2C1B7296" w14:textId="77777777"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6EFCC" w14:textId="77777777" w:rsidR="00F8281F" w:rsidRPr="00ED042E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042E">
              <w:rPr>
                <w:rFonts w:ascii="Times New Roman" w:hAnsi="Times New Roman" w:cs="Times New Roman"/>
                <w:color w:val="000000"/>
                <w:szCs w:val="21"/>
              </w:rPr>
              <w:t>Tigecycline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4D03B" w14:textId="41EC4D52" w:rsidR="00F8281F" w:rsidRPr="00ED042E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D042E">
              <w:rPr>
                <w:rFonts w:ascii="Times New Roman" w:hAnsi="Times New Roman" w:cs="Times New Roman"/>
                <w:szCs w:val="21"/>
              </w:rPr>
              <w:t>≤2</w:t>
            </w:r>
            <w:r w:rsidR="00ED042E" w:rsidRPr="00ED042E">
              <w:rPr>
                <w:rFonts w:ascii="Times New Roman" w:hAnsi="Times New Roman" w:cs="Times New Roman"/>
                <w:szCs w:val="21"/>
              </w:rPr>
              <w:t>μg/ml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BB184" w14:textId="215F253F" w:rsidR="00F8281F" w:rsidRPr="00ED042E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D042E">
              <w:rPr>
                <w:rFonts w:ascii="Times New Roman" w:hAnsi="Times New Roman" w:cs="Times New Roman"/>
                <w:szCs w:val="21"/>
              </w:rPr>
              <w:t>4</w:t>
            </w:r>
            <w:r w:rsidR="00ED042E" w:rsidRPr="00ED042E">
              <w:rPr>
                <w:rFonts w:ascii="Times New Roman" w:hAnsi="Times New Roman" w:cs="Times New Roman"/>
                <w:szCs w:val="21"/>
              </w:rPr>
              <w:t>μg/ml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2BA53" w14:textId="5A24AF49" w:rsidR="00F8281F" w:rsidRPr="00ED042E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D042E">
              <w:rPr>
                <w:rFonts w:ascii="Times New Roman" w:hAnsi="Times New Roman" w:cs="Times New Roman"/>
                <w:szCs w:val="21"/>
              </w:rPr>
              <w:t>≥8</w:t>
            </w:r>
            <w:r w:rsidR="00ED042E" w:rsidRPr="00ED042E">
              <w:rPr>
                <w:rFonts w:ascii="Times New Roman" w:hAnsi="Times New Roman" w:cs="Times New Roman"/>
                <w:szCs w:val="21"/>
              </w:rPr>
              <w:t>μg/ml</w:t>
            </w:r>
          </w:p>
        </w:tc>
      </w:tr>
      <w:tr w:rsidR="00F8281F" w:rsidRPr="00ED042E" w14:paraId="2F4F9499" w14:textId="77777777"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09E19" w14:textId="77777777" w:rsidR="00F8281F" w:rsidRPr="00ED042E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042E">
              <w:rPr>
                <w:rFonts w:ascii="Times New Roman" w:hAnsi="Times New Roman" w:cs="Times New Roman"/>
                <w:color w:val="000000"/>
                <w:szCs w:val="21"/>
              </w:rPr>
              <w:t>Minocycline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2931E" w14:textId="6D964F68" w:rsidR="00F8281F" w:rsidRPr="00ED042E" w:rsidRDefault="00ED042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042E">
              <w:rPr>
                <w:rFonts w:ascii="Times New Roman" w:hAnsi="Times New Roman" w:cs="Times New Roman"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szCs w:val="21"/>
              </w:rPr>
              <w:t>16mm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274A3" w14:textId="0F0B4FA4" w:rsidR="00F8281F" w:rsidRPr="00ED042E" w:rsidRDefault="00ED042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13-15mm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F7B81" w14:textId="47CD2D96" w:rsidR="00F8281F" w:rsidRPr="00ED042E" w:rsidRDefault="00ED042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042E">
              <w:rPr>
                <w:rFonts w:ascii="Times New Roman" w:hAnsi="Times New Roman" w:cs="Times New Roman"/>
                <w:szCs w:val="21"/>
              </w:rPr>
              <w:t>≤</w:t>
            </w:r>
            <w:r>
              <w:rPr>
                <w:rFonts w:ascii="Times New Roman" w:hAnsi="Times New Roman" w:cs="Times New Roman" w:hint="eastAsia"/>
                <w:szCs w:val="21"/>
              </w:rPr>
              <w:t>12mm</w:t>
            </w:r>
          </w:p>
        </w:tc>
      </w:tr>
      <w:tr w:rsidR="00F8281F" w:rsidRPr="00ED042E" w14:paraId="32377C2D" w14:textId="77777777"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FFA4F" w14:textId="77777777" w:rsidR="00F8281F" w:rsidRPr="00ED042E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042E">
              <w:rPr>
                <w:rFonts w:ascii="Times New Roman" w:hAnsi="Times New Roman" w:cs="Times New Roman"/>
                <w:color w:val="000000"/>
                <w:szCs w:val="21"/>
              </w:rPr>
              <w:t>Amikacin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3120B" w14:textId="2CD0E48E" w:rsidR="00F8281F" w:rsidRPr="00ED042E" w:rsidRDefault="00ED042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042E">
              <w:rPr>
                <w:rFonts w:ascii="Times New Roman" w:hAnsi="Times New Roman" w:cs="Times New Roman"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szCs w:val="21"/>
              </w:rPr>
              <w:t>17mm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5A386" w14:textId="63D06866" w:rsidR="00F8281F" w:rsidRPr="00ED042E" w:rsidRDefault="00ED042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15-16mm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D24A5" w14:textId="5277F186" w:rsidR="00F8281F" w:rsidRPr="00ED042E" w:rsidRDefault="00ED042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042E">
              <w:rPr>
                <w:rFonts w:ascii="Times New Roman" w:hAnsi="Times New Roman" w:cs="Times New Roman"/>
                <w:szCs w:val="21"/>
              </w:rPr>
              <w:t>≤</w:t>
            </w:r>
            <w:r>
              <w:rPr>
                <w:rFonts w:ascii="Times New Roman" w:hAnsi="Times New Roman" w:cs="Times New Roman" w:hint="eastAsia"/>
                <w:szCs w:val="21"/>
              </w:rPr>
              <w:t>14mm</w:t>
            </w:r>
          </w:p>
        </w:tc>
      </w:tr>
      <w:tr w:rsidR="00F8281F" w:rsidRPr="00ED042E" w14:paraId="59D7744E" w14:textId="77777777">
        <w:tc>
          <w:tcPr>
            <w:tcW w:w="1862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E0DF2EA" w14:textId="77777777" w:rsidR="00F8281F" w:rsidRPr="00ED042E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042E">
              <w:rPr>
                <w:rFonts w:ascii="Times New Roman" w:hAnsi="Times New Roman" w:cs="Times New Roman"/>
                <w:color w:val="000000"/>
                <w:szCs w:val="21"/>
              </w:rPr>
              <w:t>Ceftazidime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6D606E8" w14:textId="40A1F0A5" w:rsidR="00F8281F" w:rsidRPr="00ED042E" w:rsidRDefault="00ED042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042E">
              <w:rPr>
                <w:rFonts w:ascii="Times New Roman" w:hAnsi="Times New Roman" w:cs="Times New Roman"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szCs w:val="21"/>
              </w:rPr>
              <w:t>18mm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5E9F96C" w14:textId="74828B99" w:rsidR="00F8281F" w:rsidRPr="00ED042E" w:rsidRDefault="00ED042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15-17mm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2138ED5" w14:textId="5FDEF46F" w:rsidR="00F8281F" w:rsidRPr="00ED042E" w:rsidRDefault="00ED042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042E">
              <w:rPr>
                <w:rFonts w:ascii="Times New Roman" w:hAnsi="Times New Roman" w:cs="Times New Roman"/>
                <w:szCs w:val="21"/>
              </w:rPr>
              <w:t>≤</w:t>
            </w:r>
            <w:r>
              <w:rPr>
                <w:rFonts w:ascii="Times New Roman" w:hAnsi="Times New Roman" w:cs="Times New Roman" w:hint="eastAsia"/>
                <w:szCs w:val="21"/>
              </w:rPr>
              <w:t>14mm</w:t>
            </w:r>
          </w:p>
        </w:tc>
      </w:tr>
    </w:tbl>
    <w:p w14:paraId="2E265C53" w14:textId="77777777" w:rsidR="00F8281F" w:rsidRDefault="00F8281F">
      <w:pPr>
        <w:rPr>
          <w:rFonts w:ascii="Times New Roman" w:eastAsia="等线" w:hAnsi="Times New Roman" w:cs="Times New Roman"/>
          <w:sz w:val="24"/>
          <w:lang w:bidi="ar"/>
        </w:rPr>
      </w:pPr>
    </w:p>
    <w:p w14:paraId="1794D79D" w14:textId="77777777" w:rsidR="00F8281F" w:rsidRDefault="00000000">
      <w:pPr>
        <w:rPr>
          <w:rFonts w:ascii="Times New Roman" w:hAnsi="Times New Roman" w:cs="Times New Roman"/>
          <w:sz w:val="24"/>
        </w:rPr>
      </w:pPr>
      <w:r>
        <w:rPr>
          <w:rFonts w:ascii="Times New Roman" w:eastAsia="等线" w:hAnsi="Times New Roman" w:cs="Times New Roman"/>
          <w:sz w:val="24"/>
          <w:lang w:bidi="ar"/>
        </w:rPr>
        <w:t>S, susceptible; I,</w:t>
      </w:r>
      <w:r>
        <w:rPr>
          <w:rFonts w:ascii="Helvetica" w:eastAsia="Helvetica" w:hAnsi="Helvetica" w:cs="Times New Roman"/>
          <w:color w:val="060607"/>
          <w:spacing w:val="4"/>
          <w:szCs w:val="21"/>
          <w:shd w:val="clear" w:color="auto" w:fill="FFFFFF"/>
          <w:lang w:bidi="ar"/>
        </w:rPr>
        <w:t xml:space="preserve"> </w:t>
      </w:r>
      <w:r>
        <w:rPr>
          <w:rFonts w:ascii="Times New Roman" w:eastAsia="等线" w:hAnsi="Times New Roman" w:cs="Times New Roman"/>
          <w:sz w:val="24"/>
          <w:lang w:bidi="ar"/>
        </w:rPr>
        <w:t>intermediate; R, resistant.</w:t>
      </w:r>
      <w:r>
        <w:rPr>
          <w:rFonts w:ascii="Times New Roman" w:eastAsia="等线" w:hAnsi="Times New Roman" w:cs="Times New Roman"/>
          <w:sz w:val="28"/>
          <w:szCs w:val="28"/>
          <w:lang w:bidi="ar"/>
        </w:rPr>
        <w:t xml:space="preserve"> </w:t>
      </w:r>
      <w:r>
        <w:rPr>
          <w:rFonts w:ascii="Times New Roman" w:eastAsia="等线" w:hAnsi="Times New Roman" w:cs="Times New Roman"/>
          <w:sz w:val="24"/>
          <w:lang w:bidi="ar"/>
        </w:rPr>
        <w:t>Antimicrobial susceptibility interpretations followed breakpoints defined by the CLSI M100 ED33, except for tigecycline, whose MIC values were interpreted according to FDA criteria.</w:t>
      </w:r>
    </w:p>
    <w:p w14:paraId="106AF847" w14:textId="77777777" w:rsidR="00F8281F" w:rsidRDefault="00F8281F"/>
    <w:p w14:paraId="3F45D4A7" w14:textId="77777777" w:rsidR="00F8281F" w:rsidRDefault="00F8281F"/>
    <w:p w14:paraId="68ABD7AD" w14:textId="77777777" w:rsidR="00F8281F" w:rsidRDefault="00F8281F"/>
    <w:p w14:paraId="6DC9EEC7" w14:textId="77777777" w:rsidR="00F8281F" w:rsidRDefault="00F8281F"/>
    <w:p w14:paraId="20412C7B" w14:textId="77777777" w:rsidR="00F8281F" w:rsidRDefault="00F8281F">
      <w:pPr>
        <w:rPr>
          <w:sz w:val="24"/>
        </w:rPr>
      </w:pPr>
    </w:p>
    <w:sectPr w:rsidR="00F82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81F"/>
    <w:rsid w:val="00246CA5"/>
    <w:rsid w:val="00A77F0D"/>
    <w:rsid w:val="00EA5D77"/>
    <w:rsid w:val="00ED042E"/>
    <w:rsid w:val="00F8281F"/>
    <w:rsid w:val="08AE502B"/>
    <w:rsid w:val="30503420"/>
    <w:rsid w:val="381F09DD"/>
    <w:rsid w:val="426B2725"/>
    <w:rsid w:val="7ADD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0FDCC"/>
  <w15:docId w15:val="{B6C94288-1595-438A-94E5-2FFCB075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690</Characters>
  <Application>Microsoft Office Word</Application>
  <DocSecurity>0</DocSecurity>
  <Lines>62</Lines>
  <Paragraphs>56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duxue</dc:creator>
  <cp:lastModifiedBy>俊年 柳</cp:lastModifiedBy>
  <cp:revision>3</cp:revision>
  <dcterms:created xsi:type="dcterms:W3CDTF">2025-07-20T09:04:00Z</dcterms:created>
  <dcterms:modified xsi:type="dcterms:W3CDTF">2025-07-28T10:11:00Z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eyJoZGlkIjoiZGY2Njk0N2ZiZTE0NGY1N2Q2NmRlOGUzNGFhMTQ4OTgiLCJ1c2VySWQiOiI3MzI2OTM0MDkifQ==</vt:lpwstr>
  </property>
  <property fmtid="{D5CDD505-2E9C-101B-9397-08002B2CF9AE}" pid="4" name="ICV">
    <vt:lpwstr>8C15014286AE4AF29980D44B9750E3AA_13</vt:lpwstr>
  </property>
</Properties>
</file>