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0862" w14:textId="77777777" w:rsidR="00A077DD" w:rsidRDefault="00A077DD">
      <w:pPr>
        <w:spacing w:line="240" w:lineRule="auto"/>
        <w:rPr>
          <w:lang w:val="en-US" w:eastAsia="zh-CN"/>
        </w:rPr>
      </w:pPr>
    </w:p>
    <w:p w14:paraId="7CE26958" w14:textId="77777777" w:rsidR="00A077DD" w:rsidRDefault="00000000">
      <w:pPr>
        <w:pStyle w:val="Newparagraph"/>
        <w:spacing w:after="120" w:line="240" w:lineRule="auto"/>
        <w:ind w:firstLine="0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lang w:val="en-US"/>
        </w:rPr>
        <w:t>Supplementary Table 1. ROC curves for optimal cut-points of thyroid hormone sensitivity indices</w:t>
      </w:r>
    </w:p>
    <w:tbl>
      <w:tblPr>
        <w:tblW w:w="500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096"/>
        <w:gridCol w:w="1912"/>
        <w:gridCol w:w="2172"/>
        <w:gridCol w:w="2172"/>
        <w:gridCol w:w="2464"/>
        <w:gridCol w:w="13"/>
      </w:tblGrid>
      <w:tr w:rsidR="00A077DD" w14:paraId="3134ECCB" w14:textId="77777777">
        <w:trPr>
          <w:cantSplit/>
          <w:tblHeader/>
        </w:trPr>
        <w:tc>
          <w:tcPr>
            <w:tcW w:w="887" w:type="pct"/>
            <w:tcBorders>
              <w:top w:val="single" w:sz="1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14F05BB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index</w:t>
            </w:r>
          </w:p>
        </w:tc>
        <w:tc>
          <w:tcPr>
            <w:tcW w:w="796" w:type="pct"/>
            <w:tcBorders>
              <w:top w:val="single" w:sz="1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3FA5F8E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Cut-off</w:t>
            </w:r>
          </w:p>
        </w:tc>
        <w:tc>
          <w:tcPr>
            <w:tcW w:w="726" w:type="pct"/>
            <w:tcBorders>
              <w:top w:val="single" w:sz="1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730A4A7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AUC</w:t>
            </w:r>
          </w:p>
        </w:tc>
        <w:tc>
          <w:tcPr>
            <w:tcW w:w="825" w:type="pct"/>
            <w:tcBorders>
              <w:top w:val="single" w:sz="1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40295AE2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Specificity%</w:t>
            </w:r>
          </w:p>
        </w:tc>
        <w:tc>
          <w:tcPr>
            <w:tcW w:w="825" w:type="pct"/>
            <w:tcBorders>
              <w:top w:val="single" w:sz="1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D905D22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Sensitivity%</w:t>
            </w:r>
          </w:p>
        </w:tc>
        <w:tc>
          <w:tcPr>
            <w:tcW w:w="942" w:type="pct"/>
            <w:gridSpan w:val="2"/>
            <w:tcBorders>
              <w:top w:val="single" w:sz="16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518A56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P</w:t>
            </w:r>
          </w:p>
        </w:tc>
      </w:tr>
      <w:tr w:rsidR="00A077DD" w14:paraId="39FC125E" w14:textId="77777777">
        <w:trPr>
          <w:cantSplit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66D02C8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T2DM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F10A719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E727E6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AF276C6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2C36A11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DC8C361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A077DD" w14:paraId="216C87A8" w14:textId="77777777">
        <w:trPr>
          <w:cantSplit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6597E7C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TFQI-FT4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25628D4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0.069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8EEF5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0.669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AA411B5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0.711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484264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0.561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627D6E9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eastAsia="MS Mincho" w:hAnsiTheme="majorBidi" w:cstheme="majorBidi"/>
                <w:b/>
                <w:bCs/>
                <w:lang w:val="en-US"/>
              </w:rPr>
              <w:t>＜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0.001</w:t>
            </w:r>
          </w:p>
        </w:tc>
      </w:tr>
      <w:tr w:rsidR="00A077DD" w14:paraId="6CC6DD98" w14:textId="77777777">
        <w:trPr>
          <w:cantSplit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B9CF7CB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TFQI-FT3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FDB16B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0.129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024604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0.665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944C666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0.505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E7BDA5A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0.773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074680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eastAsia="MS Mincho" w:hAnsiTheme="majorBidi" w:cstheme="majorBidi"/>
                <w:b/>
                <w:bCs/>
                <w:lang w:val="en-US"/>
              </w:rPr>
              <w:t>＜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0.001</w:t>
            </w:r>
          </w:p>
        </w:tc>
      </w:tr>
      <w:tr w:rsidR="00A077DD" w14:paraId="5058E51B" w14:textId="77777777">
        <w:trPr>
          <w:cantSplit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42FEFAE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TSHI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E0AA992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3.122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82B3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0.635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C3DD8E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0.753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BB62707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0.492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603F19D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eastAsia="MS Mincho" w:hAnsiTheme="majorBidi" w:cstheme="majorBidi"/>
                <w:b/>
                <w:bCs/>
                <w:lang w:val="en-US"/>
              </w:rPr>
              <w:t>＜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0.001</w:t>
            </w:r>
          </w:p>
        </w:tc>
      </w:tr>
      <w:tr w:rsidR="00A077DD" w14:paraId="41069C8F" w14:textId="77777777">
        <w:trPr>
          <w:cantSplit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D5A2B2D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TT4RI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7374C8C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32.193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80394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0.584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5213467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0.577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5E4197B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0.591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AB230CB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0.030</w:t>
            </w:r>
          </w:p>
        </w:tc>
      </w:tr>
      <w:tr w:rsidR="00A077DD" w14:paraId="2412C065" w14:textId="77777777">
        <w:trPr>
          <w:cantSplit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5B0F85C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TT3RI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134B62A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10.607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3D53CE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0.584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1C4EAEA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0.619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A74EE2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0.538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2DFF04E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0.030</w:t>
            </w:r>
          </w:p>
        </w:tc>
      </w:tr>
      <w:tr w:rsidR="00A077DD" w14:paraId="388266B7" w14:textId="77777777">
        <w:trPr>
          <w:cantSplit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E6BB748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Non-DM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5634823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D3074F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6CC3C10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4290DE6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6071375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A077DD" w14:paraId="6BE6DAB8" w14:textId="77777777">
        <w:trPr>
          <w:cantSplit/>
        </w:trPr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DAB53F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TFQI-FT3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0C0401C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0.278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839E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0.610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B81400E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0.857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88358B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0.353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1EE3EAA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0.004</w:t>
            </w:r>
          </w:p>
        </w:tc>
      </w:tr>
      <w:tr w:rsidR="00A077DD" w14:paraId="704A1B01" w14:textId="77777777">
        <w:trPr>
          <w:cantSplit/>
        </w:trPr>
        <w:tc>
          <w:tcPr>
            <w:tcW w:w="887" w:type="pc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261B25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FT3/FT4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9028F7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0.318</w:t>
            </w:r>
          </w:p>
        </w:tc>
        <w:tc>
          <w:tcPr>
            <w:tcW w:w="726" w:type="pc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0245968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0.663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2AB8C09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0.554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A27FF73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0.773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B7FC8DF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eastAsia="MS Mincho" w:hAnsiTheme="majorBidi" w:cstheme="majorBidi"/>
                <w:b/>
                <w:bCs/>
                <w:lang w:val="en-US"/>
              </w:rPr>
              <w:t>＜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0.001</w:t>
            </w:r>
          </w:p>
        </w:tc>
      </w:tr>
      <w:tr w:rsidR="00A077DD" w14:paraId="31E678C4" w14:textId="77777777">
        <w:trPr>
          <w:cantSplit/>
        </w:trPr>
        <w:tc>
          <w:tcPr>
            <w:tcW w:w="499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5FAE946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 xml:space="preserve">Note: </w:t>
            </w:r>
          </w:p>
          <w:p w14:paraId="65D422A1" w14:textId="77777777" w:rsidR="00A077DD" w:rsidRDefault="00000000">
            <w:pPr>
              <w:pStyle w:val="Newparagraph"/>
              <w:tabs>
                <w:tab w:val="left" w:pos="312"/>
              </w:tabs>
              <w:spacing w:after="120" w:line="240" w:lineRule="auto"/>
              <w:ind w:left="720"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eastAsia"/>
                <w:lang w:val="en-US"/>
              </w:rPr>
              <w:t>Bold values indicate statistically significant associations (p &lt; 0.05)</w:t>
            </w:r>
          </w:p>
          <w:p w14:paraId="16417287" w14:textId="77777777" w:rsidR="00A077DD" w:rsidRDefault="00000000">
            <w:pPr>
              <w:pStyle w:val="Newparagraph"/>
              <w:tabs>
                <w:tab w:val="left" w:pos="312"/>
              </w:tabs>
              <w:spacing w:after="120" w:line="240" w:lineRule="auto"/>
              <w:ind w:left="720"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Abbreviations: FT3, free triiodothyronine; FT4, free thyroxine; TSH, thyroid-stimulating hormone; TFQI-FT4, the thyroid feedback quantile-based index calculated by FT4; TFQI-FT3, the thyroid feedback quantile-based index calculated by FT3; TSHI, TSH index; TT4RI, thyrotropin T4 resistance index; TT3RI, thyrotropin T3 resistance index; FT3/FT4, FT3 to FT4 ratio; ROC, receiver operating characteristic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curve</w:t>
            </w:r>
            <w:r>
              <w:rPr>
                <w:rFonts w:asciiTheme="majorBidi" w:hAnsiTheme="majorBidi" w:cstheme="majorBidi" w:hint="eastAsia"/>
                <w:lang w:val="en-US" w:eastAsia="zh-CN"/>
              </w:rPr>
              <w:t>;AUC,Area</w:t>
            </w:r>
            <w:proofErr w:type="spellEnd"/>
            <w:r>
              <w:rPr>
                <w:rFonts w:asciiTheme="majorBidi" w:hAnsiTheme="majorBidi" w:cstheme="majorBidi" w:hint="eastAsia"/>
                <w:lang w:val="en-US" w:eastAsia="zh-CN"/>
              </w:rPr>
              <w:t xml:space="preserve"> Under the Curve</w:t>
            </w:r>
          </w:p>
        </w:tc>
        <w:tc>
          <w:tcPr>
            <w:tcW w:w="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D35811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14:paraId="71B3C2F4" w14:textId="77777777" w:rsidR="00A077DD" w:rsidRDefault="00000000">
      <w:pPr>
        <w:spacing w:after="120" w:line="240" w:lineRule="auto"/>
        <w:rPr>
          <w:rFonts w:asciiTheme="majorBidi" w:hAnsiTheme="majorBidi" w:cstheme="majorBidi"/>
          <w:b/>
          <w:bCs/>
          <w:lang w:val="en-US"/>
        </w:rPr>
      </w:pPr>
      <w:bookmarkStart w:id="0" w:name="_Hlk171853068"/>
      <w:r>
        <w:rPr>
          <w:rFonts w:asciiTheme="majorBidi" w:hAnsiTheme="majorBidi" w:cstheme="majorBidi"/>
          <w:b/>
          <w:bCs/>
          <w:lang w:val="en-US"/>
        </w:rPr>
        <w:br w:type="page"/>
      </w:r>
    </w:p>
    <w:p w14:paraId="184AFCFC" w14:textId="77777777" w:rsidR="00A077DD" w:rsidRDefault="00000000">
      <w:pPr>
        <w:pStyle w:val="Newparagraph"/>
        <w:spacing w:after="120" w:line="240" w:lineRule="auto"/>
        <w:ind w:firstLine="0"/>
        <w:rPr>
          <w:rFonts w:asciiTheme="majorBidi" w:hAnsiTheme="majorBidi" w:cstheme="majorBidi"/>
          <w:b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lastRenderedPageBreak/>
        <w:t>Supplementary</w:t>
      </w:r>
      <w:r>
        <w:rPr>
          <w:rFonts w:asciiTheme="majorBidi" w:hAnsiTheme="majorBidi" w:cstheme="majorBidi"/>
          <w:b/>
          <w:lang w:val="en-US"/>
        </w:rPr>
        <w:t xml:space="preserve"> Table 2. Correlation between thyroid parameters and non-invasive fibrosis panels in patients with T2DM and NAFLD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1762"/>
        <w:gridCol w:w="1762"/>
        <w:gridCol w:w="1762"/>
        <w:gridCol w:w="1762"/>
        <w:gridCol w:w="1762"/>
        <w:gridCol w:w="1526"/>
      </w:tblGrid>
      <w:tr w:rsidR="00A077DD" w14:paraId="68F9D3F7" w14:textId="77777777">
        <w:trPr>
          <w:cantSplit/>
          <w:trHeight w:val="173"/>
          <w:tblHeader/>
          <w:jc w:val="center"/>
        </w:trPr>
        <w:tc>
          <w:tcPr>
            <w:tcW w:w="1070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0FD80A38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Thyroid parameters</w:t>
            </w:r>
          </w:p>
        </w:tc>
        <w:tc>
          <w:tcPr>
            <w:tcW w:w="1340" w:type="pct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E0CC26F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NFS</w:t>
            </w:r>
          </w:p>
        </w:tc>
        <w:tc>
          <w:tcPr>
            <w:tcW w:w="1340" w:type="pct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A8C1016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FIB-4</w:t>
            </w:r>
          </w:p>
        </w:tc>
        <w:tc>
          <w:tcPr>
            <w:tcW w:w="1250" w:type="pct"/>
            <w:gridSpan w:val="2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A520E4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APRI</w:t>
            </w:r>
          </w:p>
        </w:tc>
      </w:tr>
      <w:tr w:rsidR="00A077DD" w14:paraId="64906EBD" w14:textId="77777777">
        <w:trPr>
          <w:cantSplit/>
          <w:trHeight w:val="173"/>
          <w:tblHeader/>
          <w:jc w:val="center"/>
        </w:trPr>
        <w:tc>
          <w:tcPr>
            <w:tcW w:w="1070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53458A57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670" w:type="pct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2DD8FCC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r</w:t>
            </w:r>
          </w:p>
        </w:tc>
        <w:tc>
          <w:tcPr>
            <w:tcW w:w="670" w:type="pct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8654716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p</w:t>
            </w:r>
          </w:p>
        </w:tc>
        <w:tc>
          <w:tcPr>
            <w:tcW w:w="670" w:type="pct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6065021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r</w:t>
            </w:r>
          </w:p>
        </w:tc>
        <w:tc>
          <w:tcPr>
            <w:tcW w:w="670" w:type="pct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E0D0F62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p</w:t>
            </w:r>
          </w:p>
        </w:tc>
        <w:tc>
          <w:tcPr>
            <w:tcW w:w="670" w:type="pct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  <w:vAlign w:val="bottom"/>
          </w:tcPr>
          <w:p w14:paraId="7613E7D5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r</w:t>
            </w:r>
          </w:p>
        </w:tc>
        <w:tc>
          <w:tcPr>
            <w:tcW w:w="580" w:type="pct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4B1D049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lang w:val="en-US"/>
              </w:rPr>
              <w:t>p</w:t>
            </w:r>
          </w:p>
        </w:tc>
      </w:tr>
      <w:tr w:rsidR="00A077DD" w14:paraId="2317781C" w14:textId="77777777">
        <w:trPr>
          <w:cantSplit/>
          <w:trHeight w:val="429"/>
          <w:jc w:val="center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3F529FF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bookmarkStart w:id="1" w:name="_Hlk168163766"/>
            <w:r>
              <w:rPr>
                <w:rFonts w:asciiTheme="majorBidi" w:hAnsiTheme="majorBidi" w:cstheme="majorBidi"/>
                <w:lang w:val="en-US"/>
              </w:rPr>
              <w:t>FT3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F58CD3D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0.009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CC6807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0.894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3A3C6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0.081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32B1A19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0.223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795083A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0.182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69561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0.006</w:t>
            </w:r>
          </w:p>
        </w:tc>
      </w:tr>
      <w:tr w:rsidR="00A077DD" w14:paraId="2F0D255C" w14:textId="77777777">
        <w:trPr>
          <w:cantSplit/>
          <w:trHeight w:val="413"/>
          <w:jc w:val="center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6678AE9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FT4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D48E416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0.053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062F8DB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0.428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FF1D3BA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bookmarkStart w:id="2" w:name="_Hlk168165410"/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0.147</w:t>
            </w:r>
            <w:bookmarkEnd w:id="2"/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B549588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0.027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F9721F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0.104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C08DE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0.116</w:t>
            </w:r>
          </w:p>
        </w:tc>
      </w:tr>
      <w:tr w:rsidR="00A077DD" w14:paraId="1FF875F3" w14:textId="77777777">
        <w:trPr>
          <w:cantSplit/>
          <w:trHeight w:val="413"/>
          <w:jc w:val="center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5F05CD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bookmarkStart w:id="3" w:name="_Hlk171197551"/>
            <w:r>
              <w:rPr>
                <w:rFonts w:asciiTheme="majorBidi" w:hAnsiTheme="majorBidi" w:cstheme="majorBidi"/>
                <w:lang w:val="en-US"/>
              </w:rPr>
              <w:t>TSH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6E58F9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0.002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2581794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0.974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88D81C7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0.052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7B87042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0.438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9B759F5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0.042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2FEDF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0.528</w:t>
            </w:r>
          </w:p>
        </w:tc>
      </w:tr>
      <w:tr w:rsidR="00A077DD" w14:paraId="5D0D9601" w14:textId="77777777">
        <w:trPr>
          <w:cantSplit/>
          <w:trHeight w:val="413"/>
          <w:jc w:val="center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9D1A2F4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TFQI-FT4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A651C8C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0.018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404D94A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0.785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910A8BA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0.117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F25ADED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0.078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38E4C7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0.080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1761BE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0.229</w:t>
            </w:r>
          </w:p>
        </w:tc>
      </w:tr>
      <w:tr w:rsidR="00A077DD" w14:paraId="41F194BE" w14:textId="77777777">
        <w:trPr>
          <w:cantSplit/>
          <w:trHeight w:val="413"/>
          <w:jc w:val="center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D40985A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TFQI-FT3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221956D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0.013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D6E639E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0.841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EF0894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0.106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CCE48D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0.108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0CC81B3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0.064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98689A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0.335</w:t>
            </w:r>
          </w:p>
        </w:tc>
      </w:tr>
      <w:tr w:rsidR="00A077DD" w14:paraId="6A48D2FD" w14:textId="77777777">
        <w:trPr>
          <w:cantSplit/>
          <w:trHeight w:val="413"/>
          <w:jc w:val="center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BE40AB9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TSHI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67C42E9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0.020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81FA71C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0.760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15A9512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0.124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B159A59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0.062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6CF14C3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0.046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C3ACF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0.478</w:t>
            </w:r>
          </w:p>
        </w:tc>
      </w:tr>
      <w:tr w:rsidR="00A077DD" w14:paraId="0D6E81F0" w14:textId="77777777">
        <w:trPr>
          <w:cantSplit/>
          <w:trHeight w:val="413"/>
          <w:jc w:val="center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6D3322B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TT4RI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F38519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0.001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E9E1F7C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0.985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32AC2F7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0.091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4A8685A6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0.172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5C21E54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0.002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23B02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0.980</w:t>
            </w:r>
          </w:p>
        </w:tc>
      </w:tr>
      <w:tr w:rsidR="00A077DD" w14:paraId="4E1EFD96" w14:textId="77777777">
        <w:trPr>
          <w:cantSplit/>
          <w:trHeight w:val="413"/>
          <w:jc w:val="center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7B8F3B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TT3RI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632A95F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0.004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30985A4F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0.947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5FCD5666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="Symbol" w:hAnsi="Symbol" w:cstheme="majorBidi"/>
                <w:lang w:val="en-US"/>
              </w:rPr>
              <w:sym w:font="Symbol" w:char="F02D"/>
            </w:r>
            <w:r>
              <w:rPr>
                <w:rFonts w:asciiTheme="majorBidi" w:hAnsiTheme="majorBidi" w:cstheme="majorBidi"/>
                <w:lang w:val="en-US"/>
              </w:rPr>
              <w:t>0.073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63786EC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0.271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E3DCAF1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0.005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9F3773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0.935</w:t>
            </w:r>
          </w:p>
        </w:tc>
      </w:tr>
      <w:tr w:rsidR="00A077DD" w14:paraId="05A7D76D" w14:textId="77777777">
        <w:trPr>
          <w:cantSplit/>
          <w:trHeight w:val="413"/>
          <w:jc w:val="center"/>
        </w:trPr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5F32FEC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bookmarkStart w:id="4" w:name="_Hlk168161149"/>
            <w:r>
              <w:rPr>
                <w:rFonts w:asciiTheme="majorBidi" w:hAnsiTheme="majorBidi" w:cstheme="majorBidi"/>
                <w:lang w:val="en-US"/>
              </w:rPr>
              <w:t>FT3/FT4</w:t>
            </w:r>
            <w:bookmarkEnd w:id="4"/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2D822EB4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0.052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6466B2E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0.434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068AC1F8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0.031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43FFD1F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0.638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75DE405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0.051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623C9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0.444</w:t>
            </w:r>
          </w:p>
        </w:tc>
      </w:tr>
      <w:bookmarkEnd w:id="1"/>
      <w:bookmarkEnd w:id="3"/>
      <w:tr w:rsidR="00A077DD" w14:paraId="002E4670" w14:textId="77777777">
        <w:trPr>
          <w:cantSplit/>
          <w:trHeight w:val="1478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96" w:type="dxa"/>
              <w:right w:w="96" w:type="dxa"/>
            </w:tcMar>
          </w:tcPr>
          <w:p w14:paraId="13001850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lang w:val="en-US"/>
              </w:rPr>
              <w:t>Notes:</w:t>
            </w:r>
          </w:p>
          <w:p w14:paraId="05B172E2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Spearman’s correlation analysis was used to calculate the correlation coefficient (r),</w:t>
            </w:r>
          </w:p>
          <w:p w14:paraId="0390F5F6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 w:hint="eastAsia"/>
                <w:lang w:val="en-US"/>
              </w:rPr>
              <w:t>Bold values indicate statistically significant associations (p &lt; 0.05)</w:t>
            </w:r>
          </w:p>
          <w:p w14:paraId="6B389822" w14:textId="77777777" w:rsidR="00A077DD" w:rsidRDefault="00000000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Abbreviations: APRI, aspartate aminotransferase to platelet ratio index; FIB-4, fibrosis-4 index; FT3, free triiodothyronine; FT4, free thyroxine; TSH, thyroid-stimulating hormone; NFS, non-alcoholic fatty liver disease fibrosis score; TFQI-FT4, the thyroid feedback quantile-based index calculated by FT4; TFQI-FT3, the thyroid feedback quantile-based index calculated by FT3; TSHI, TSH index; TT4RI, thyrotropin T4 resistance index; TT3RI, thyrotropin T3 resistance index; FT3/FT4, FT3 to FT4 ratio</w:t>
            </w:r>
          </w:p>
          <w:p w14:paraId="75315246" w14:textId="77777777" w:rsidR="00A077DD" w:rsidRDefault="00A077DD">
            <w:pPr>
              <w:pStyle w:val="Newparagraph"/>
              <w:spacing w:after="120" w:line="240" w:lineRule="auto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</w:tr>
      <w:bookmarkEnd w:id="0"/>
    </w:tbl>
    <w:p w14:paraId="0A50E5AC" w14:textId="77777777" w:rsidR="00A077DD" w:rsidRDefault="00000000">
      <w:r>
        <w:br w:type="page"/>
      </w:r>
    </w:p>
    <w:p w14:paraId="5C87A6B0" w14:textId="77777777" w:rsidR="00A077DD" w:rsidRDefault="00A077DD"/>
    <w:p w14:paraId="5B12A6C9" w14:textId="77777777" w:rsidR="00A077DD" w:rsidRDefault="00000000">
      <w:pPr>
        <w:rPr>
          <w:lang w:eastAsia="zh-CN"/>
        </w:rPr>
      </w:pPr>
      <w:r>
        <w:rPr>
          <w:b/>
          <w:noProof/>
          <w:lang w:val="en-US"/>
          <w14:ligatures w14:val="standardContextual"/>
        </w:rPr>
        <w:drawing>
          <wp:inline distT="0" distB="0" distL="0" distR="0" wp14:anchorId="1F9C4491" wp14:editId="48FF3CC0">
            <wp:extent cx="5873115" cy="2717800"/>
            <wp:effectExtent l="0" t="0" r="133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747" cy="27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55D69" w14:textId="27788C0B" w:rsidR="00A077DD" w:rsidRDefault="00000000">
      <w:pPr>
        <w:pStyle w:val="Figurecaption"/>
        <w:spacing w:before="0" w:line="480" w:lineRule="auto"/>
        <w:jc w:val="both"/>
        <w:rPr>
          <w:rStyle w:val="CommentReference"/>
        </w:rPr>
      </w:pPr>
      <w:r>
        <w:rPr>
          <w:b/>
          <w:bCs/>
          <w:lang w:val="en-US" w:eastAsia="zh-CN"/>
        </w:rPr>
        <w:t xml:space="preserve">Supplementary Figure 1. Incidence of advanced liver fibrosis in patients with T2DM and those without DM. </w:t>
      </w:r>
      <w:r w:rsidR="00635856">
        <w:rPr>
          <w:b/>
          <w:bCs/>
          <w:lang w:val="en-US" w:eastAsia="zh-CN"/>
        </w:rPr>
        <w:br/>
      </w:r>
      <w:r w:rsidRPr="00635856">
        <w:rPr>
          <w:rFonts w:hint="eastAsia"/>
          <w:lang w:val="en-US" w:eastAsia="zh-CN"/>
        </w:rPr>
        <w:t>Bold font: Emphasize (the proportion of advanced liver fibrosis) (percentage)</w:t>
      </w:r>
    </w:p>
    <w:p w14:paraId="30481CC6" w14:textId="77777777" w:rsidR="00A077DD" w:rsidRDefault="00000000">
      <w:pPr>
        <w:pStyle w:val="Figurecaption"/>
        <w:spacing w:before="0" w:line="240" w:lineRule="auto"/>
        <w:jc w:val="both"/>
        <w:rPr>
          <w:bCs/>
          <w:lang w:val="en-US"/>
        </w:rPr>
      </w:pPr>
      <w:r>
        <w:rPr>
          <w:bCs/>
          <w:lang w:val="en-US"/>
        </w:rPr>
        <w:t xml:space="preserve">Abbreviations: NFS, non-alcoholic fatty liver disease fibrosis score; FIB-4, fibrosis-4 index; APRI, aspartate aminotransferase to platelet ratio index; T2DM, </w:t>
      </w:r>
      <w:r>
        <w:rPr>
          <w:lang w:val="en-US"/>
        </w:rPr>
        <w:t xml:space="preserve">type 2 diabetes mellitus </w:t>
      </w:r>
    </w:p>
    <w:p w14:paraId="5984AAE0" w14:textId="77777777" w:rsidR="00A077DD" w:rsidRDefault="00000000">
      <w:pPr>
        <w:spacing w:line="240" w:lineRule="auto"/>
        <w:jc w:val="both"/>
        <w:rPr>
          <w:lang w:val="en-US" w:eastAsia="zh-CN"/>
        </w:rPr>
      </w:pPr>
      <w:r>
        <w:rPr>
          <w:lang w:val="en-US"/>
        </w:rPr>
        <w:t>FT3, free triiodothyronine; FT4, free thyroxine; TSH, thyroid-stimulating hormone; TFQI-FT4, the thyroid feedback quantile-based index calculated by FT4; TFQI-FT3, the thyroid feedback quantile-based index calculated by FT3; TSHI, TSH index; TT4RI, thyrotropin T4 resistance index; TT3RI, thyrotropin T3 resistance index; FT3/FT4, FT3 to FT4 ratio; ROC, receiver operating characteristic curve</w:t>
      </w:r>
      <w:r>
        <w:rPr>
          <w:rFonts w:hint="eastAsia"/>
          <w:lang w:val="en-US" w:eastAsia="zh-CN"/>
        </w:rPr>
        <w:t xml:space="preserve">    </w:t>
      </w:r>
    </w:p>
    <w:p w14:paraId="519C3023" w14:textId="77777777" w:rsidR="00A077DD" w:rsidRDefault="00A077DD">
      <w:pPr>
        <w:rPr>
          <w:lang w:val="en-US" w:eastAsia="zh-CN"/>
        </w:rPr>
      </w:pPr>
    </w:p>
    <w:p w14:paraId="6FEF839B" w14:textId="77777777" w:rsidR="00A077DD" w:rsidRDefault="00A077DD">
      <w:pPr>
        <w:rPr>
          <w:lang w:eastAsia="zh-CN"/>
        </w:rPr>
      </w:pPr>
    </w:p>
    <w:sectPr w:rsidR="00A077DD">
      <w:footerReference w:type="even" r:id="rId8"/>
      <w:footerReference w:type="defaul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5938" w14:textId="77777777" w:rsidR="001C2233" w:rsidRDefault="001C2233">
      <w:pPr>
        <w:spacing w:line="240" w:lineRule="auto"/>
      </w:pPr>
      <w:r>
        <w:separator/>
      </w:r>
    </w:p>
  </w:endnote>
  <w:endnote w:type="continuationSeparator" w:id="0">
    <w:p w14:paraId="7837C11A" w14:textId="77777777" w:rsidR="001C2233" w:rsidRDefault="001C2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F163" w14:textId="77777777" w:rsidR="00A077DD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CF9659" wp14:editId="10C7A08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325178987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11F6E" w14:textId="77777777" w:rsidR="00A077DD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F96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" filled="f" stroked="f">
              <v:textbox style="mso-fit-shape-to-text:t" inset="20pt,0,0,15pt">
                <w:txbxContent>
                  <w:p w14:paraId="79311F6E" w14:textId="77777777" w:rsidR="00A077DD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38C7" w14:textId="77777777" w:rsidR="00A077DD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667731" wp14:editId="56F7815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735181871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A574D" w14:textId="77777777" w:rsidR="00A077DD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677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" filled="f" stroked="f">
              <v:textbox style="mso-fit-shape-to-text:t" inset="20pt,0,0,15pt">
                <w:txbxContent>
                  <w:p w14:paraId="642A574D" w14:textId="77777777" w:rsidR="00A077DD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074F" w14:textId="77777777" w:rsidR="00A077DD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28FD8E" wp14:editId="6F94177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364969062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CFA4A" w14:textId="77777777" w:rsidR="00A077DD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8FD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" filled="f" stroked="f">
              <v:textbox style="mso-fit-shape-to-text:t" inset="20pt,0,0,15pt">
                <w:txbxContent>
                  <w:p w14:paraId="65BCFA4A" w14:textId="77777777" w:rsidR="00A077DD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5D2CC" w14:textId="77777777" w:rsidR="001C2233" w:rsidRDefault="001C2233">
      <w:r>
        <w:separator/>
      </w:r>
    </w:p>
  </w:footnote>
  <w:footnote w:type="continuationSeparator" w:id="0">
    <w:p w14:paraId="64AEEC56" w14:textId="77777777" w:rsidR="001C2233" w:rsidRDefault="001C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137"/>
    <w:rsid w:val="00065137"/>
    <w:rsid w:val="00160D44"/>
    <w:rsid w:val="001C2233"/>
    <w:rsid w:val="00234D8F"/>
    <w:rsid w:val="002E41E8"/>
    <w:rsid w:val="00563DFD"/>
    <w:rsid w:val="00635856"/>
    <w:rsid w:val="00731685"/>
    <w:rsid w:val="00A077DD"/>
    <w:rsid w:val="00C14F82"/>
    <w:rsid w:val="00CA7D28"/>
    <w:rsid w:val="00E146E8"/>
    <w:rsid w:val="00EF3000"/>
    <w:rsid w:val="1A9C424D"/>
    <w:rsid w:val="33562911"/>
    <w:rsid w:val="471C0CAE"/>
    <w:rsid w:val="598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36FE6"/>
  <w15:docId w15:val="{CBF65F43-37B5-449C-8C26-465A2AA0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D53A0" w:themeColor="accent1" w:themeShade="BF"/>
      <w:kern w:val="2"/>
      <w:sz w:val="40"/>
      <w:szCs w:val="40"/>
      <w:lang w:val="en-U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Newparagraph">
    <w:name w:val="New paragraph"/>
    <w:basedOn w:val="Normal"/>
    <w:qFormat/>
    <w:pPr>
      <w:ind w:firstLine="720"/>
    </w:pPr>
  </w:style>
  <w:style w:type="paragraph" w:customStyle="1" w:styleId="Tabletitle">
    <w:name w:val="Table title"/>
    <w:basedOn w:val="Normal"/>
    <w:next w:val="Normal"/>
    <w:qFormat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pPr>
      <w:spacing w:before="240" w:line="360" w:lineRule="auto"/>
    </w:pPr>
  </w:style>
  <w:style w:type="character" w:customStyle="1" w:styleId="FooterChar">
    <w:name w:val="Footer Char"/>
    <w:basedOn w:val="DefaultParagraphFont"/>
    <w:link w:val="Footer"/>
    <w:qFormat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 w:cs="Times New Roman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hAnsi="Times New Roman" w:cs="Times New Roman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金佳南</dc:creator>
  <cp:lastModifiedBy>Shaw, Grace</cp:lastModifiedBy>
  <cp:revision>3</cp:revision>
  <dcterms:created xsi:type="dcterms:W3CDTF">2025-08-15T06:18:00Z</dcterms:created>
  <dcterms:modified xsi:type="dcterms:W3CDTF">2025-08-15T06:18:00Z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KSOTemplateDocerSaveRecord">
    <vt:lpwstr>eyJoZGlkIjoiZTgwYWI4ZDMyYTFkOTZlZDZlNDAzYmJkZjA5YTc0NDYiLCJ1c2VySWQiOiIzNjQ2NjYxODMifQ==</vt:lpwstr>
  </property>
  <property fmtid="{D5CDD505-2E9C-101B-9397-08002B2CF9AE}" pid="4" name="ICV">
    <vt:lpwstr>3A8F3A6D68864A97A96792E245CD1F9D_12</vt:lpwstr>
  </property>
  <property fmtid="{D5CDD505-2E9C-101B-9397-08002B2CF9AE}" pid="5" name="ClassificationContentMarkingFooterShapeIds">
    <vt:lpwstr>515bc666,1361d66b,676cc62f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2025-08-08T23:41:28Z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2a521f10-042e-41a8-aa2b-768ae2b5e91a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