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C8DD4" w14:textId="3F16F042" w:rsidR="00065391" w:rsidRPr="00F47E2D" w:rsidRDefault="004518EA" w:rsidP="004518EA">
      <w:pPr>
        <w:adjustRightInd w:val="0"/>
        <w:snapToGrid w:val="0"/>
        <w:rPr>
          <w:rFonts w:ascii="Arial" w:hAnsi="Arial" w:cs="Arial"/>
          <w:b/>
          <w:sz w:val="32"/>
          <w:szCs w:val="32"/>
        </w:rPr>
      </w:pPr>
      <w:r w:rsidRPr="00F47E2D">
        <w:rPr>
          <w:rFonts w:ascii="Arial" w:hAnsi="Arial" w:cs="Arial"/>
          <w:b/>
          <w:sz w:val="32"/>
          <w:szCs w:val="32"/>
        </w:rPr>
        <w:t>Material and Methods</w:t>
      </w:r>
    </w:p>
    <w:p w14:paraId="7C759C00" w14:textId="2EE609F8" w:rsidR="00506A72" w:rsidRPr="00F47E2D" w:rsidRDefault="00506A72" w:rsidP="004518EA">
      <w:pPr>
        <w:spacing w:line="480" w:lineRule="auto"/>
        <w:rPr>
          <w:rFonts w:ascii="Arial" w:hAnsi="Arial" w:cs="Arial"/>
          <w:b/>
          <w:bCs/>
          <w:color w:val="000000" w:themeColor="text1"/>
          <w:sz w:val="20"/>
          <w:szCs w:val="20"/>
        </w:rPr>
      </w:pPr>
      <w:r w:rsidRPr="00F47E2D">
        <w:rPr>
          <w:rFonts w:ascii="Arial" w:hAnsi="Arial" w:cs="Arial"/>
          <w:b/>
          <w:bCs/>
          <w:color w:val="000000" w:themeColor="text1"/>
          <w:sz w:val="20"/>
          <w:szCs w:val="20"/>
        </w:rPr>
        <w:t xml:space="preserve">Antibodies and dyes </w:t>
      </w:r>
    </w:p>
    <w:p w14:paraId="500C21B2" w14:textId="09E98C3A" w:rsidR="00506A72" w:rsidRPr="00F47E2D" w:rsidRDefault="00506A72" w:rsidP="00A96053">
      <w:pPr>
        <w:spacing w:line="480" w:lineRule="auto"/>
        <w:rPr>
          <w:rFonts w:ascii="Arial" w:hAnsi="Arial" w:cs="Arial"/>
          <w:color w:val="000000" w:themeColor="text1"/>
          <w:sz w:val="20"/>
          <w:szCs w:val="20"/>
        </w:rPr>
      </w:pPr>
      <w:r w:rsidRPr="00F47E2D">
        <w:rPr>
          <w:rFonts w:ascii="Arial" w:hAnsi="Arial" w:cs="Arial"/>
          <w:color w:val="000000" w:themeColor="text1"/>
          <w:sz w:val="20"/>
          <w:szCs w:val="20"/>
        </w:rPr>
        <w:t xml:space="preserve">The list of antibodies used for flow cytometry is summarized in Table S1. Fixable Viability Stain 700 was purchased from </w:t>
      </w:r>
      <w:r w:rsidRPr="00F47E2D">
        <w:rPr>
          <w:rFonts w:ascii="Arial" w:hAnsi="Arial" w:cs="Arial"/>
          <w:sz w:val="20"/>
          <w:szCs w:val="20"/>
        </w:rPr>
        <w:t>BD Horizon (USA)</w:t>
      </w:r>
      <w:r w:rsidRPr="00F47E2D">
        <w:rPr>
          <w:rFonts w:ascii="Arial" w:hAnsi="Arial" w:cs="Arial"/>
          <w:color w:val="000000" w:themeColor="text1"/>
          <w:sz w:val="20"/>
          <w:szCs w:val="20"/>
        </w:rPr>
        <w:t>. Cy5 NHS ester was purchased from Lumiprobe (USA). Lysotraker Red and Di</w:t>
      </w:r>
      <w:r w:rsidR="007E5251" w:rsidRPr="00F47E2D">
        <w:rPr>
          <w:rFonts w:ascii="Arial" w:hAnsi="Arial" w:cs="Arial"/>
          <w:color w:val="000000" w:themeColor="text1"/>
          <w:sz w:val="20"/>
          <w:szCs w:val="20"/>
        </w:rPr>
        <w:t>I</w:t>
      </w:r>
      <w:r w:rsidRPr="00F47E2D">
        <w:rPr>
          <w:rFonts w:ascii="Arial" w:hAnsi="Arial" w:cs="Arial"/>
          <w:color w:val="000000" w:themeColor="text1"/>
          <w:sz w:val="20"/>
          <w:szCs w:val="20"/>
        </w:rPr>
        <w:t xml:space="preserve"> were purchased from Yeasen (China).</w:t>
      </w:r>
    </w:p>
    <w:p w14:paraId="4EEC3BD5" w14:textId="741FCE4B" w:rsidR="00C831E3" w:rsidRPr="00F47E2D" w:rsidRDefault="00A24F3E" w:rsidP="00A96053">
      <w:pPr>
        <w:spacing w:line="480" w:lineRule="auto"/>
        <w:rPr>
          <w:rFonts w:ascii="Arial" w:hAnsi="Arial" w:cs="Arial"/>
          <w:b/>
          <w:bCs/>
          <w:color w:val="000000" w:themeColor="text1"/>
          <w:sz w:val="20"/>
          <w:szCs w:val="20"/>
        </w:rPr>
      </w:pPr>
      <w:r w:rsidRPr="00F47E2D">
        <w:rPr>
          <w:rFonts w:ascii="Arial" w:hAnsi="Arial" w:cs="Arial"/>
          <w:b/>
          <w:bCs/>
          <w:color w:val="000000" w:themeColor="text1"/>
          <w:sz w:val="20"/>
          <w:szCs w:val="20"/>
        </w:rPr>
        <w:t xml:space="preserve">The stability of the </w:t>
      </w:r>
      <w:r w:rsidRPr="00F47E2D">
        <w:rPr>
          <w:rFonts w:ascii="Arial" w:hAnsi="Arial" w:cs="Arial" w:hint="eastAsia"/>
          <w:b/>
          <w:bCs/>
          <w:color w:val="000000" w:themeColor="text1"/>
          <w:sz w:val="20"/>
          <w:szCs w:val="20"/>
        </w:rPr>
        <w:t>Sq@TA/Mn@OVA</w:t>
      </w:r>
      <w:r w:rsidRPr="00F47E2D">
        <w:rPr>
          <w:rFonts w:ascii="Arial" w:hAnsi="Arial" w:cs="Arial"/>
          <w:b/>
          <w:bCs/>
          <w:color w:val="000000" w:themeColor="text1"/>
          <w:sz w:val="20"/>
          <w:szCs w:val="20"/>
        </w:rPr>
        <w:t xml:space="preserve"> nano</w:t>
      </w:r>
      <w:r w:rsidRPr="00F47E2D">
        <w:rPr>
          <w:rFonts w:ascii="Arial" w:hAnsi="Arial" w:cs="Arial" w:hint="eastAsia"/>
          <w:b/>
          <w:bCs/>
          <w:color w:val="000000" w:themeColor="text1"/>
          <w:sz w:val="20"/>
          <w:szCs w:val="20"/>
        </w:rPr>
        <w:t>-</w:t>
      </w:r>
      <w:r w:rsidRPr="00F47E2D">
        <w:rPr>
          <w:rFonts w:ascii="Arial" w:hAnsi="Arial" w:cs="Arial"/>
          <w:b/>
          <w:bCs/>
          <w:color w:val="000000" w:themeColor="text1"/>
          <w:sz w:val="20"/>
          <w:szCs w:val="20"/>
        </w:rPr>
        <w:t>emulsion</w:t>
      </w:r>
    </w:p>
    <w:p w14:paraId="0C0E11F4" w14:textId="667C07A8" w:rsidR="00950B69" w:rsidRPr="00F47E2D" w:rsidRDefault="00950B69" w:rsidP="00A96053">
      <w:pPr>
        <w:spacing w:line="480" w:lineRule="auto"/>
        <w:rPr>
          <w:rFonts w:ascii="Arial" w:hAnsi="Arial" w:cs="Arial"/>
          <w:color w:val="000000" w:themeColor="text1"/>
          <w:sz w:val="20"/>
          <w:szCs w:val="20"/>
        </w:rPr>
      </w:pPr>
      <w:r w:rsidRPr="00F47E2D">
        <w:rPr>
          <w:rFonts w:ascii="Arial" w:hAnsi="Arial" w:cs="Arial"/>
          <w:color w:val="000000" w:themeColor="text1"/>
          <w:sz w:val="20"/>
          <w:szCs w:val="20"/>
        </w:rPr>
        <w:t>The stability of the Sq@TA/Mn@OVA nano</w:t>
      </w:r>
      <w:r w:rsidRPr="00F47E2D">
        <w:rPr>
          <w:rFonts w:ascii="Arial" w:hAnsi="Arial" w:cs="Arial" w:hint="eastAsia"/>
          <w:color w:val="000000" w:themeColor="text1"/>
          <w:sz w:val="20"/>
          <w:szCs w:val="20"/>
        </w:rPr>
        <w:t>-</w:t>
      </w:r>
      <w:r w:rsidRPr="00F47E2D">
        <w:rPr>
          <w:rFonts w:ascii="Arial" w:hAnsi="Arial" w:cs="Arial"/>
          <w:color w:val="000000" w:themeColor="text1"/>
          <w:sz w:val="20"/>
          <w:szCs w:val="20"/>
        </w:rPr>
        <w:t>emulsion was assessed over a 7-day period by monitoring particle size, polydispersity index (PDI), and zeta potential during storage at 4 °C or in DMEM supplemented with 10% FBS at 37 °C. Measurements were performed by dynamic light scattering (DLS) using a Malvern Nano Zetasizer (Malvern Instruments, UK).</w:t>
      </w:r>
    </w:p>
    <w:p w14:paraId="58848A2F" w14:textId="767F4885" w:rsidR="00C230C6" w:rsidRPr="00F47E2D" w:rsidRDefault="00C230C6" w:rsidP="00A96053">
      <w:pPr>
        <w:spacing w:line="480" w:lineRule="auto"/>
        <w:rPr>
          <w:rFonts w:ascii="Arial" w:hAnsi="Arial" w:cs="Arial"/>
          <w:b/>
          <w:bCs/>
          <w:color w:val="000000" w:themeColor="text1"/>
          <w:sz w:val="20"/>
          <w:szCs w:val="20"/>
        </w:rPr>
      </w:pPr>
      <w:r w:rsidRPr="00F47E2D">
        <w:rPr>
          <w:rFonts w:ascii="Arial" w:hAnsi="Arial" w:cs="Arial"/>
          <w:b/>
          <w:bCs/>
          <w:color w:val="000000" w:themeColor="text1"/>
          <w:sz w:val="20"/>
          <w:szCs w:val="20"/>
        </w:rPr>
        <w:t>In vitro cytotoxicity of various preparations against DC2.4 cells</w:t>
      </w:r>
    </w:p>
    <w:p w14:paraId="6FB605B6" w14:textId="05C1821C" w:rsidR="00C230C6" w:rsidRPr="00F47E2D" w:rsidRDefault="00C230C6" w:rsidP="00A96053">
      <w:pPr>
        <w:spacing w:line="480" w:lineRule="auto"/>
        <w:rPr>
          <w:rFonts w:ascii="Arial" w:hAnsi="Arial" w:cs="Arial"/>
          <w:color w:val="000000" w:themeColor="text1"/>
          <w:sz w:val="20"/>
          <w:szCs w:val="20"/>
        </w:rPr>
      </w:pPr>
      <w:r w:rsidRPr="00F47E2D">
        <w:rPr>
          <w:rFonts w:ascii="Arial" w:hAnsi="Arial" w:cs="Arial"/>
          <w:color w:val="000000" w:themeColor="text1"/>
          <w:sz w:val="20"/>
          <w:szCs w:val="20"/>
        </w:rPr>
        <w:t>The DC2.4 cells were seeded at a cell density of 5×10</w:t>
      </w:r>
      <w:r w:rsidRPr="00F47E2D">
        <w:rPr>
          <w:rFonts w:ascii="Arial" w:hAnsi="Arial" w:cs="Arial"/>
          <w:color w:val="000000" w:themeColor="text1"/>
          <w:sz w:val="20"/>
          <w:szCs w:val="20"/>
          <w:vertAlign w:val="superscript"/>
        </w:rPr>
        <w:t>3</w:t>
      </w:r>
      <w:r w:rsidRPr="00F47E2D">
        <w:rPr>
          <w:rFonts w:ascii="Arial" w:hAnsi="Arial" w:cs="Arial"/>
          <w:color w:val="000000" w:themeColor="text1"/>
          <w:sz w:val="20"/>
          <w:szCs w:val="20"/>
        </w:rPr>
        <w:t>/well (100 μL) on a 96-well cell culture plate at 37°C in 5% CO</w:t>
      </w:r>
      <w:r w:rsidRPr="00F47E2D">
        <w:rPr>
          <w:rFonts w:ascii="Arial" w:hAnsi="Arial" w:cs="Arial"/>
          <w:color w:val="000000" w:themeColor="text1"/>
          <w:sz w:val="20"/>
          <w:szCs w:val="20"/>
          <w:vertAlign w:val="subscript"/>
        </w:rPr>
        <w:t>2</w:t>
      </w:r>
      <w:r w:rsidRPr="00F47E2D">
        <w:rPr>
          <w:rFonts w:ascii="Arial" w:hAnsi="Arial" w:cs="Arial"/>
          <w:color w:val="000000" w:themeColor="text1"/>
          <w:sz w:val="20"/>
          <w:szCs w:val="20"/>
        </w:rPr>
        <w:t>. After the cell adherence to the wall, various preparations with the OVA concentration of 25 μg/mL were added for incubation with the cell for 6 h</w:t>
      </w:r>
      <w:r w:rsidR="002A6DFA" w:rsidRPr="00F47E2D">
        <w:rPr>
          <w:rFonts w:ascii="Arial" w:hAnsi="Arial" w:cs="Arial" w:hint="eastAsia"/>
          <w:color w:val="000000" w:themeColor="text1"/>
          <w:sz w:val="20"/>
          <w:szCs w:val="20"/>
        </w:rPr>
        <w:t xml:space="preserve"> or 24 h</w:t>
      </w:r>
      <w:r w:rsidRPr="00F47E2D">
        <w:rPr>
          <w:rFonts w:ascii="Arial" w:hAnsi="Arial" w:cs="Arial"/>
          <w:color w:val="000000" w:themeColor="text1"/>
          <w:sz w:val="20"/>
          <w:szCs w:val="20"/>
        </w:rPr>
        <w:t xml:space="preserve">. The medium was then removed and washed twice with PBS. Subsequently, 100 μL of fresh medium containing 10% cell counting kit 8 (CCK-8, </w:t>
      </w:r>
      <w:bookmarkStart w:id="0" w:name="OLE_LINK20"/>
      <w:r w:rsidRPr="00F47E2D">
        <w:rPr>
          <w:rFonts w:ascii="Arial" w:hAnsi="Arial" w:cs="Arial"/>
          <w:color w:val="000000" w:themeColor="text1"/>
          <w:sz w:val="20"/>
          <w:szCs w:val="20"/>
        </w:rPr>
        <w:t>Yeasen, China</w:t>
      </w:r>
      <w:bookmarkEnd w:id="0"/>
      <w:r w:rsidRPr="00F47E2D">
        <w:rPr>
          <w:rFonts w:ascii="Arial" w:hAnsi="Arial" w:cs="Arial"/>
          <w:color w:val="000000" w:themeColor="text1"/>
          <w:sz w:val="20"/>
          <w:szCs w:val="20"/>
        </w:rPr>
        <w:t xml:space="preserve">) was added and incubated for 1.5 h. Finally, the absorbance at 450 nm was measured using a microplate reader. </w:t>
      </w:r>
    </w:p>
    <w:p w14:paraId="04613CA4" w14:textId="06A00EBA" w:rsidR="00251C10" w:rsidRPr="00F47E2D" w:rsidRDefault="00251C10" w:rsidP="00A96053">
      <w:pPr>
        <w:spacing w:line="480" w:lineRule="auto"/>
        <w:rPr>
          <w:rFonts w:ascii="Arial" w:hAnsi="Arial" w:cs="Arial"/>
          <w:b/>
          <w:bCs/>
          <w:color w:val="000000" w:themeColor="text1"/>
          <w:sz w:val="20"/>
          <w:szCs w:val="20"/>
        </w:rPr>
      </w:pPr>
      <w:r w:rsidRPr="00F47E2D">
        <w:rPr>
          <w:rFonts w:ascii="Arial" w:hAnsi="Arial" w:cs="Arial"/>
          <w:b/>
          <w:bCs/>
          <w:color w:val="000000" w:themeColor="text1"/>
          <w:sz w:val="20"/>
          <w:szCs w:val="20"/>
        </w:rPr>
        <w:t xml:space="preserve">Cellular internalization of </w:t>
      </w:r>
      <w:bookmarkStart w:id="1" w:name="_Hlk183771108"/>
      <w:r w:rsidR="00F238BD" w:rsidRPr="00F47E2D">
        <w:rPr>
          <w:rFonts w:ascii="Arial" w:hAnsi="Arial" w:cs="Arial"/>
          <w:b/>
          <w:bCs/>
          <w:color w:val="000000" w:themeColor="text1"/>
          <w:sz w:val="20"/>
          <w:szCs w:val="20"/>
        </w:rPr>
        <w:t>various formulations</w:t>
      </w:r>
      <w:bookmarkEnd w:id="1"/>
      <w:r w:rsidRPr="00F47E2D">
        <w:rPr>
          <w:rFonts w:ascii="Arial" w:hAnsi="Arial" w:cs="Arial"/>
          <w:b/>
          <w:bCs/>
          <w:color w:val="000000" w:themeColor="text1"/>
          <w:sz w:val="20"/>
          <w:szCs w:val="20"/>
        </w:rPr>
        <w:t xml:space="preserve"> in vitro</w:t>
      </w:r>
    </w:p>
    <w:p w14:paraId="5DE76C2A" w14:textId="52E73CE5" w:rsidR="005531DD" w:rsidRPr="00F47E2D" w:rsidRDefault="00251C10" w:rsidP="00A96053">
      <w:pPr>
        <w:spacing w:line="480" w:lineRule="auto"/>
        <w:rPr>
          <w:rFonts w:ascii="Arial" w:hAnsi="Arial" w:cs="Arial"/>
          <w:color w:val="000000" w:themeColor="text1"/>
          <w:sz w:val="20"/>
          <w:szCs w:val="20"/>
        </w:rPr>
      </w:pPr>
      <w:r w:rsidRPr="00F47E2D">
        <w:rPr>
          <w:rFonts w:ascii="Arial" w:hAnsi="Arial" w:cs="Arial"/>
          <w:color w:val="000000" w:themeColor="text1"/>
          <w:sz w:val="20"/>
          <w:szCs w:val="20"/>
        </w:rPr>
        <w:t>To obtain confocal scanning microscope images of cellular internalization of</w:t>
      </w:r>
      <w:r w:rsidR="005531DD" w:rsidRPr="00F47E2D">
        <w:rPr>
          <w:rFonts w:ascii="Arial" w:hAnsi="Arial" w:cs="Arial"/>
          <w:sz w:val="20"/>
          <w:szCs w:val="20"/>
        </w:rPr>
        <w:t xml:space="preserve"> </w:t>
      </w:r>
      <w:r w:rsidR="005531DD" w:rsidRPr="00F47E2D">
        <w:rPr>
          <w:rFonts w:ascii="Arial" w:hAnsi="Arial" w:cs="Arial"/>
          <w:color w:val="000000" w:themeColor="text1"/>
          <w:sz w:val="20"/>
          <w:szCs w:val="20"/>
        </w:rPr>
        <w:t>various formulations</w:t>
      </w:r>
      <w:r w:rsidRPr="00F47E2D">
        <w:rPr>
          <w:rFonts w:ascii="Arial" w:hAnsi="Arial" w:cs="Arial"/>
          <w:color w:val="000000" w:themeColor="text1"/>
          <w:sz w:val="20"/>
          <w:szCs w:val="20"/>
        </w:rPr>
        <w:t xml:space="preserve">, </w:t>
      </w:r>
      <w:r w:rsidR="005531DD" w:rsidRPr="00F47E2D">
        <w:rPr>
          <w:rFonts w:ascii="Arial" w:hAnsi="Arial" w:cs="Arial"/>
          <w:color w:val="000000" w:themeColor="text1"/>
          <w:sz w:val="20"/>
          <w:szCs w:val="20"/>
        </w:rPr>
        <w:t xml:space="preserve">DC2.4 cells were cultured on 8-well chambered cover glass (Cellvis) with 5000 </w:t>
      </w:r>
      <w:r w:rsidR="005531DD" w:rsidRPr="00F47E2D">
        <w:rPr>
          <w:rFonts w:ascii="Arial" w:hAnsi="Arial" w:cs="Arial"/>
          <w:color w:val="000000" w:themeColor="text1"/>
          <w:sz w:val="20"/>
          <w:szCs w:val="20"/>
        </w:rPr>
        <w:lastRenderedPageBreak/>
        <w:t xml:space="preserve">cells per well, followed by 24 h incubation for attachment. Afterwards, these cells were treated with </w:t>
      </w:r>
      <w:r w:rsidR="00E26837" w:rsidRPr="00F47E2D">
        <w:rPr>
          <w:rFonts w:ascii="Arial" w:hAnsi="Arial" w:cs="Arial"/>
          <w:color w:val="000000" w:themeColor="text1"/>
          <w:sz w:val="20"/>
          <w:szCs w:val="20"/>
        </w:rPr>
        <w:t>various</w:t>
      </w:r>
      <w:r w:rsidR="005531DD" w:rsidRPr="00F47E2D">
        <w:rPr>
          <w:rFonts w:ascii="Arial" w:hAnsi="Arial" w:cs="Arial"/>
          <w:color w:val="000000" w:themeColor="text1"/>
          <w:sz w:val="20"/>
          <w:szCs w:val="20"/>
        </w:rPr>
        <w:t xml:space="preserve"> preparations loaded with OVA (green) for 8 h, respectively. The OVA </w:t>
      </w:r>
      <w:r w:rsidR="00E51164" w:rsidRPr="00F47E2D">
        <w:rPr>
          <w:rFonts w:ascii="Arial" w:hAnsi="Arial" w:cs="Arial"/>
          <w:color w:val="000000" w:themeColor="text1"/>
          <w:sz w:val="20"/>
          <w:szCs w:val="20"/>
        </w:rPr>
        <w:t>was</w:t>
      </w:r>
      <w:r w:rsidR="005531DD" w:rsidRPr="00F47E2D">
        <w:rPr>
          <w:rFonts w:ascii="Arial" w:hAnsi="Arial" w:cs="Arial"/>
          <w:color w:val="000000" w:themeColor="text1"/>
          <w:sz w:val="20"/>
          <w:szCs w:val="20"/>
        </w:rPr>
        <w:t xml:space="preserve"> </w:t>
      </w:r>
      <w:r w:rsidR="00E26837" w:rsidRPr="00F47E2D">
        <w:rPr>
          <w:rFonts w:ascii="Arial" w:hAnsi="Arial" w:cs="Arial"/>
          <w:color w:val="000000" w:themeColor="text1"/>
          <w:sz w:val="20"/>
          <w:szCs w:val="20"/>
        </w:rPr>
        <w:t>labelled</w:t>
      </w:r>
      <w:r w:rsidR="005531DD" w:rsidRPr="00F47E2D">
        <w:rPr>
          <w:rFonts w:ascii="Arial" w:hAnsi="Arial" w:cs="Arial"/>
          <w:color w:val="000000" w:themeColor="text1"/>
          <w:sz w:val="20"/>
          <w:szCs w:val="20"/>
        </w:rPr>
        <w:t xml:space="preserve"> </w:t>
      </w:r>
      <w:r w:rsidR="00E26837" w:rsidRPr="00F47E2D">
        <w:rPr>
          <w:rFonts w:ascii="Arial" w:hAnsi="Arial" w:cs="Arial" w:hint="eastAsia"/>
          <w:color w:val="000000" w:themeColor="text1"/>
          <w:sz w:val="20"/>
          <w:szCs w:val="20"/>
        </w:rPr>
        <w:t xml:space="preserve">with </w:t>
      </w:r>
      <w:r w:rsidR="005531DD" w:rsidRPr="00F47E2D">
        <w:rPr>
          <w:rFonts w:ascii="Arial" w:hAnsi="Arial" w:cs="Arial"/>
          <w:color w:val="000000" w:themeColor="text1"/>
          <w:sz w:val="20"/>
          <w:szCs w:val="20"/>
        </w:rPr>
        <w:t xml:space="preserve">FITC. The LysoTracker Red (red) was used to stain lysosomes. The images were obtained under a CLSM (Leica). </w:t>
      </w:r>
    </w:p>
    <w:p w14:paraId="6868C3CA" w14:textId="00990F8F" w:rsidR="005531DD" w:rsidRPr="00F47E2D" w:rsidRDefault="005531DD" w:rsidP="00A96053">
      <w:pPr>
        <w:spacing w:line="480" w:lineRule="auto"/>
        <w:rPr>
          <w:rFonts w:ascii="Arial" w:hAnsi="Arial" w:cs="Arial"/>
          <w:color w:val="000000" w:themeColor="text1"/>
          <w:sz w:val="20"/>
          <w:szCs w:val="20"/>
        </w:rPr>
      </w:pPr>
      <w:r w:rsidRPr="00F47E2D">
        <w:rPr>
          <w:rFonts w:ascii="Arial" w:hAnsi="Arial" w:cs="Arial"/>
          <w:color w:val="000000" w:themeColor="text1"/>
          <w:sz w:val="20"/>
          <w:szCs w:val="20"/>
        </w:rPr>
        <w:t xml:space="preserve">For flow cytometry assays, DC2.4 cells in 1 mL of culture medium were cultured in a 12-well plate. The cells were exposed to </w:t>
      </w:r>
      <w:r w:rsidRPr="00F47E2D">
        <w:rPr>
          <w:rFonts w:ascii="Arial" w:eastAsiaTheme="minorEastAsia" w:hAnsi="Arial" w:cs="Arial"/>
          <w:bCs/>
          <w:kern w:val="0"/>
          <w:sz w:val="20"/>
          <w:szCs w:val="20"/>
        </w:rPr>
        <w:t>different preparations</w:t>
      </w:r>
      <w:r w:rsidRPr="00F47E2D">
        <w:rPr>
          <w:rFonts w:ascii="Arial" w:hAnsi="Arial" w:cs="Arial"/>
          <w:color w:val="000000" w:themeColor="text1"/>
          <w:sz w:val="20"/>
          <w:szCs w:val="20"/>
        </w:rPr>
        <w:t xml:space="preserve"> loaded with OVA (green) for </w:t>
      </w:r>
      <w:r w:rsidR="000D6B2A" w:rsidRPr="00F47E2D">
        <w:rPr>
          <w:rFonts w:ascii="Arial" w:hAnsi="Arial" w:cs="Arial"/>
          <w:color w:val="000000" w:themeColor="text1"/>
          <w:sz w:val="20"/>
          <w:szCs w:val="20"/>
        </w:rPr>
        <w:t xml:space="preserve">2, 4 or </w:t>
      </w:r>
      <w:r w:rsidRPr="00F47E2D">
        <w:rPr>
          <w:rFonts w:ascii="Arial" w:hAnsi="Arial" w:cs="Arial"/>
          <w:color w:val="000000" w:themeColor="text1"/>
          <w:sz w:val="20"/>
          <w:szCs w:val="20"/>
        </w:rPr>
        <w:t xml:space="preserve">8 h at 37 °C and then rinsed twice using cold PBS and collected by trypsin digestion and centrifugation. The collected cells were suspended in 100 μL PBS and immediately detected using a flow cytometry </w:t>
      </w:r>
      <w:r w:rsidR="0037296A" w:rsidRPr="00F47E2D">
        <w:rPr>
          <w:rFonts w:ascii="Arial" w:hAnsi="Arial" w:cs="Arial"/>
          <w:color w:val="000000" w:themeColor="text1"/>
          <w:sz w:val="20"/>
          <w:szCs w:val="20"/>
        </w:rPr>
        <w:t>(</w:t>
      </w:r>
      <w:r w:rsidR="004D2AF8" w:rsidRPr="00F47E2D">
        <w:rPr>
          <w:rFonts w:ascii="Arial" w:hAnsi="Arial" w:cs="Arial"/>
          <w:color w:val="000000" w:themeColor="text1"/>
          <w:sz w:val="20"/>
          <w:szCs w:val="20"/>
        </w:rPr>
        <w:t>Becton Dickinson,</w:t>
      </w:r>
      <w:r w:rsidR="0037296A" w:rsidRPr="00F47E2D">
        <w:rPr>
          <w:rFonts w:ascii="Arial" w:hAnsi="Arial" w:cs="Arial"/>
          <w:color w:val="000000" w:themeColor="text1"/>
          <w:sz w:val="20"/>
          <w:szCs w:val="20"/>
        </w:rPr>
        <w:t xml:space="preserve"> LSRFortessa</w:t>
      </w:r>
      <w:r w:rsidRPr="00F47E2D">
        <w:rPr>
          <w:rFonts w:ascii="Arial" w:hAnsi="Arial" w:cs="Arial"/>
          <w:color w:val="000000" w:themeColor="text1"/>
          <w:sz w:val="20"/>
          <w:szCs w:val="20"/>
        </w:rPr>
        <w:t xml:space="preserve">). </w:t>
      </w:r>
    </w:p>
    <w:p w14:paraId="2D9192D3" w14:textId="22FAF6E5" w:rsidR="005531DD" w:rsidRPr="00F47E2D" w:rsidRDefault="005531DD" w:rsidP="00A96053">
      <w:pPr>
        <w:spacing w:line="480" w:lineRule="auto"/>
        <w:rPr>
          <w:rFonts w:ascii="Arial" w:hAnsi="Arial" w:cs="Arial"/>
          <w:b/>
          <w:bCs/>
          <w:color w:val="000000" w:themeColor="text1"/>
          <w:sz w:val="20"/>
          <w:szCs w:val="20"/>
        </w:rPr>
      </w:pPr>
      <w:r w:rsidRPr="00F47E2D">
        <w:rPr>
          <w:rFonts w:ascii="Arial" w:hAnsi="Arial" w:cs="Arial"/>
          <w:b/>
          <w:bCs/>
          <w:color w:val="000000" w:themeColor="text1"/>
          <w:sz w:val="20"/>
          <w:szCs w:val="20"/>
        </w:rPr>
        <w:t>Subcellular localization</w:t>
      </w:r>
    </w:p>
    <w:p w14:paraId="2196113E" w14:textId="12BC1D9C" w:rsidR="004518EA" w:rsidRPr="00F47E2D" w:rsidRDefault="005531DD" w:rsidP="004B60EB">
      <w:pPr>
        <w:spacing w:line="480" w:lineRule="auto"/>
        <w:rPr>
          <w:rFonts w:ascii="Arial" w:eastAsiaTheme="minorEastAsia" w:hAnsi="Arial" w:cs="Arial"/>
          <w:bCs/>
          <w:kern w:val="0"/>
          <w:sz w:val="20"/>
          <w:szCs w:val="20"/>
        </w:rPr>
      </w:pPr>
      <w:r w:rsidRPr="00F47E2D">
        <w:rPr>
          <w:rFonts w:ascii="Arial" w:eastAsiaTheme="minorEastAsia" w:hAnsi="Arial" w:cs="Arial"/>
          <w:bCs/>
          <w:kern w:val="0"/>
          <w:sz w:val="20"/>
          <w:szCs w:val="20"/>
        </w:rPr>
        <w:t>The DC2.4 cells were treated with different preparations</w:t>
      </w:r>
      <w:r w:rsidRPr="00F47E2D">
        <w:rPr>
          <w:rFonts w:ascii="Arial" w:hAnsi="Arial" w:cs="Arial"/>
          <w:color w:val="000000" w:themeColor="text1"/>
          <w:sz w:val="20"/>
          <w:szCs w:val="20"/>
        </w:rPr>
        <w:t xml:space="preserve"> loaded with OVA (green)</w:t>
      </w:r>
      <w:r w:rsidRPr="00F47E2D">
        <w:rPr>
          <w:rFonts w:ascii="Arial" w:eastAsiaTheme="minorEastAsia" w:hAnsi="Arial" w:cs="Arial"/>
          <w:bCs/>
          <w:kern w:val="0"/>
          <w:sz w:val="20"/>
          <w:szCs w:val="20"/>
        </w:rPr>
        <w:t xml:space="preserve"> for 24 h, respectively. The distribution of FITC-labeled OVA and morphs of LysoTraker Red-labeled lysosome were visualized by CLSM</w:t>
      </w:r>
      <w:r w:rsidR="008370A8">
        <w:rPr>
          <w:rFonts w:ascii="Arial" w:eastAsiaTheme="minorEastAsia" w:hAnsi="Arial" w:cs="Arial" w:hint="eastAsia"/>
          <w:bCs/>
          <w:kern w:val="0"/>
          <w:sz w:val="20"/>
          <w:szCs w:val="20"/>
        </w:rPr>
        <w:t xml:space="preserve"> </w:t>
      </w:r>
      <w:r w:rsidRPr="00F47E2D">
        <w:rPr>
          <w:rFonts w:ascii="Arial" w:hAnsi="Arial" w:cs="Arial"/>
          <w:color w:val="000000" w:themeColor="text1"/>
          <w:sz w:val="20"/>
          <w:szCs w:val="20"/>
        </w:rPr>
        <w:t>(Leica)</w:t>
      </w:r>
      <w:r w:rsidR="008370A8">
        <w:rPr>
          <w:rFonts w:ascii="Arial" w:hAnsi="Arial" w:cs="Arial" w:hint="eastAsia"/>
          <w:color w:val="000000" w:themeColor="text1"/>
          <w:sz w:val="20"/>
          <w:szCs w:val="20"/>
        </w:rPr>
        <w:t>.</w:t>
      </w:r>
    </w:p>
    <w:p w14:paraId="08433475" w14:textId="4EB1FC0C" w:rsidR="00E70FEA" w:rsidRPr="00F47E2D" w:rsidRDefault="00E70FEA" w:rsidP="00A96053">
      <w:pPr>
        <w:spacing w:line="480" w:lineRule="auto"/>
        <w:rPr>
          <w:rFonts w:ascii="Arial" w:hAnsi="Arial" w:cs="Arial"/>
          <w:b/>
          <w:bCs/>
          <w:color w:val="000000" w:themeColor="text1"/>
          <w:sz w:val="20"/>
          <w:szCs w:val="20"/>
        </w:rPr>
      </w:pPr>
      <w:r w:rsidRPr="00F47E2D">
        <w:rPr>
          <w:rFonts w:ascii="Arial" w:hAnsi="Arial" w:cs="Arial"/>
          <w:b/>
          <w:bCs/>
          <w:color w:val="000000" w:themeColor="text1"/>
          <w:sz w:val="20"/>
          <w:szCs w:val="20"/>
        </w:rPr>
        <w:t>Expression and purification of recombinant Pal (rPal)</w:t>
      </w:r>
    </w:p>
    <w:p w14:paraId="16A88A66" w14:textId="1CE29307" w:rsidR="004D2AF8" w:rsidRPr="00F47E2D" w:rsidRDefault="00A277B5" w:rsidP="00A96053">
      <w:pPr>
        <w:spacing w:line="480" w:lineRule="auto"/>
        <w:rPr>
          <w:rFonts w:ascii="Arial" w:hAnsi="Arial" w:cs="Arial"/>
          <w:color w:val="000000" w:themeColor="text1"/>
          <w:sz w:val="20"/>
          <w:szCs w:val="20"/>
        </w:rPr>
      </w:pPr>
      <w:r w:rsidRPr="00F47E2D">
        <w:rPr>
          <w:rFonts w:ascii="Arial" w:hAnsi="Arial" w:cs="Arial"/>
          <w:color w:val="000000" w:themeColor="text1"/>
          <w:sz w:val="20"/>
          <w:szCs w:val="20"/>
        </w:rPr>
        <w:t xml:space="preserve">The recombinant </w:t>
      </w:r>
      <w:r w:rsidR="0077363B" w:rsidRPr="00F47E2D">
        <w:rPr>
          <w:rFonts w:ascii="Arial" w:hAnsi="Arial" w:cs="Arial"/>
          <w:color w:val="000000" w:themeColor="text1"/>
          <w:sz w:val="20"/>
          <w:szCs w:val="20"/>
        </w:rPr>
        <w:t>Peptidoglycan-associated lipoprotein (Pal) in A. baumannii bacteria</w:t>
      </w:r>
      <w:r w:rsidRPr="00F47E2D">
        <w:rPr>
          <w:rFonts w:ascii="Arial" w:hAnsi="Arial" w:cs="Arial"/>
          <w:color w:val="000000" w:themeColor="text1"/>
          <w:sz w:val="20"/>
          <w:szCs w:val="20"/>
        </w:rPr>
        <w:t xml:space="preserve"> was selected as the model</w:t>
      </w:r>
      <w:r w:rsidR="0077363B" w:rsidRPr="00F47E2D">
        <w:rPr>
          <w:rFonts w:ascii="Arial" w:hAnsi="Arial" w:cs="Arial"/>
          <w:color w:val="000000" w:themeColor="text1"/>
          <w:sz w:val="20"/>
          <w:szCs w:val="20"/>
        </w:rPr>
        <w:t xml:space="preserve"> </w:t>
      </w:r>
      <w:r w:rsidRPr="00F47E2D">
        <w:rPr>
          <w:rFonts w:ascii="Arial" w:hAnsi="Arial" w:cs="Arial"/>
          <w:color w:val="000000" w:themeColor="text1"/>
          <w:sz w:val="20"/>
          <w:szCs w:val="20"/>
        </w:rPr>
        <w:t xml:space="preserve">antigen. The detailed expression </w:t>
      </w:r>
      <w:r w:rsidR="0077363B" w:rsidRPr="00F47E2D">
        <w:rPr>
          <w:rFonts w:ascii="Arial" w:hAnsi="Arial" w:cs="Arial"/>
          <w:color w:val="000000" w:themeColor="text1"/>
          <w:sz w:val="20"/>
          <w:szCs w:val="20"/>
        </w:rPr>
        <w:t>and purification methods</w:t>
      </w:r>
      <w:r w:rsidRPr="00F47E2D">
        <w:rPr>
          <w:rFonts w:ascii="Arial" w:hAnsi="Arial" w:cs="Arial"/>
          <w:color w:val="000000" w:themeColor="text1"/>
          <w:sz w:val="20"/>
          <w:szCs w:val="20"/>
        </w:rPr>
        <w:t xml:space="preserve"> which </w:t>
      </w:r>
      <w:r w:rsidR="00DA216D" w:rsidRPr="00F47E2D">
        <w:rPr>
          <w:rFonts w:ascii="Arial" w:hAnsi="Arial" w:cs="Arial"/>
          <w:color w:val="000000" w:themeColor="text1"/>
          <w:sz w:val="20"/>
          <w:szCs w:val="20"/>
        </w:rPr>
        <w:t>have</w:t>
      </w:r>
      <w:r w:rsidRPr="00F47E2D">
        <w:rPr>
          <w:rFonts w:ascii="Arial" w:hAnsi="Arial" w:cs="Arial"/>
          <w:color w:val="000000" w:themeColor="text1"/>
          <w:sz w:val="20"/>
          <w:szCs w:val="20"/>
        </w:rPr>
        <w:t xml:space="preserve"> been reported </w:t>
      </w:r>
      <w:r w:rsidR="0077363B" w:rsidRPr="00F47E2D">
        <w:rPr>
          <w:rFonts w:ascii="Arial" w:hAnsi="Arial" w:cs="Arial"/>
          <w:color w:val="000000" w:themeColor="text1"/>
          <w:sz w:val="20"/>
          <w:szCs w:val="20"/>
        </w:rPr>
        <w:t>previously</w:t>
      </w:r>
      <w:r w:rsidR="00465F90" w:rsidRPr="00F47E2D">
        <w:rPr>
          <w:rFonts w:ascii="Arial" w:hAnsi="Arial" w:cs="Arial"/>
          <w:color w:val="000000" w:themeColor="text1"/>
          <w:sz w:val="20"/>
          <w:szCs w:val="20"/>
        </w:rPr>
        <w:fldChar w:fldCharType="begin">
          <w:fldData xml:space="preserve">PEVuZE5vdGU+PENpdGU+PEF1dGhvcj5aZW5nPC9BdXRob3I+PFllYXI+MjAyMzwvWWVhcj48UmVj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</w:fldData>
        </w:fldChar>
      </w:r>
      <w:r w:rsidR="00553715" w:rsidRPr="00F47E2D">
        <w:rPr>
          <w:rFonts w:ascii="Arial" w:hAnsi="Arial" w:cs="Arial"/>
          <w:color w:val="000000" w:themeColor="text1"/>
          <w:sz w:val="20"/>
          <w:szCs w:val="20"/>
        </w:rPr>
        <w:instrText xml:space="preserve"> ADDIN EN.CITE </w:instrText>
      </w:r>
      <w:r w:rsidR="00553715" w:rsidRPr="00F47E2D">
        <w:rPr>
          <w:rFonts w:ascii="Arial" w:hAnsi="Arial" w:cs="Arial"/>
          <w:color w:val="000000" w:themeColor="text1"/>
          <w:sz w:val="20"/>
          <w:szCs w:val="20"/>
        </w:rPr>
        <w:fldChar w:fldCharType="begin">
          <w:fldData xml:space="preserve">PEVuZE5vdGU+PENpdGU+PEF1dGhvcj5aZW5nPC9BdXRob3I+PFllYXI+MjAyMzwvWWVhcj48UmVj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</w:fldData>
        </w:fldChar>
      </w:r>
      <w:r w:rsidR="00553715" w:rsidRPr="00F47E2D">
        <w:rPr>
          <w:rFonts w:ascii="Arial" w:hAnsi="Arial" w:cs="Arial"/>
          <w:color w:val="000000" w:themeColor="text1"/>
          <w:sz w:val="20"/>
          <w:szCs w:val="20"/>
        </w:rPr>
        <w:instrText xml:space="preserve"> ADDIN EN.CITE.DATA </w:instrText>
      </w:r>
      <w:r w:rsidR="00553715" w:rsidRPr="00F47E2D">
        <w:rPr>
          <w:rFonts w:ascii="Arial" w:hAnsi="Arial" w:cs="Arial"/>
          <w:color w:val="000000" w:themeColor="text1"/>
          <w:sz w:val="20"/>
          <w:szCs w:val="20"/>
        </w:rPr>
      </w:r>
      <w:r w:rsidR="00553715" w:rsidRPr="00F47E2D">
        <w:rPr>
          <w:rFonts w:ascii="Arial" w:hAnsi="Arial" w:cs="Arial"/>
          <w:color w:val="000000" w:themeColor="text1"/>
          <w:sz w:val="20"/>
          <w:szCs w:val="20"/>
        </w:rPr>
        <w:fldChar w:fldCharType="end"/>
      </w:r>
      <w:r w:rsidR="00465F90" w:rsidRPr="00F47E2D">
        <w:rPr>
          <w:rFonts w:ascii="Arial" w:hAnsi="Arial" w:cs="Arial"/>
          <w:color w:val="000000" w:themeColor="text1"/>
          <w:sz w:val="20"/>
          <w:szCs w:val="20"/>
        </w:rPr>
      </w:r>
      <w:r w:rsidR="00465F90" w:rsidRPr="00F47E2D">
        <w:rPr>
          <w:rFonts w:ascii="Arial" w:hAnsi="Arial" w:cs="Arial"/>
          <w:color w:val="000000" w:themeColor="text1"/>
          <w:sz w:val="20"/>
          <w:szCs w:val="20"/>
        </w:rPr>
        <w:fldChar w:fldCharType="separate"/>
      </w:r>
      <w:r w:rsidR="00553715" w:rsidRPr="00F47E2D">
        <w:rPr>
          <w:rFonts w:ascii="Arial" w:hAnsi="Arial" w:cs="Arial"/>
          <w:noProof/>
          <w:color w:val="000000" w:themeColor="text1"/>
          <w:sz w:val="20"/>
          <w:szCs w:val="20"/>
          <w:vertAlign w:val="superscript"/>
        </w:rPr>
        <w:t>1</w:t>
      </w:r>
      <w:r w:rsidR="00465F90" w:rsidRPr="00F47E2D">
        <w:rPr>
          <w:rFonts w:ascii="Arial" w:hAnsi="Arial" w:cs="Arial"/>
          <w:color w:val="000000" w:themeColor="text1"/>
          <w:sz w:val="20"/>
          <w:szCs w:val="20"/>
        </w:rPr>
        <w:fldChar w:fldCharType="end"/>
      </w:r>
      <w:r w:rsidRPr="00F47E2D">
        <w:rPr>
          <w:rFonts w:ascii="Arial" w:hAnsi="Arial" w:cs="Arial"/>
          <w:color w:val="000000" w:themeColor="text1"/>
          <w:sz w:val="20"/>
          <w:szCs w:val="20"/>
        </w:rPr>
        <w:t xml:space="preserve">. </w:t>
      </w:r>
    </w:p>
    <w:p w14:paraId="6578699F" w14:textId="70B75CEC" w:rsidR="005B4DE2" w:rsidRPr="00F47E2D" w:rsidRDefault="005B4DE2" w:rsidP="00A96053">
      <w:pPr>
        <w:spacing w:line="480" w:lineRule="auto"/>
        <w:rPr>
          <w:rFonts w:ascii="Arial" w:hAnsi="Arial" w:cs="Arial"/>
          <w:b/>
          <w:bCs/>
          <w:color w:val="000000" w:themeColor="text1"/>
          <w:sz w:val="20"/>
          <w:szCs w:val="20"/>
        </w:rPr>
      </w:pPr>
      <w:r w:rsidRPr="00F47E2D">
        <w:rPr>
          <w:rFonts w:ascii="Arial" w:hAnsi="Arial" w:cs="Arial"/>
          <w:b/>
          <w:bCs/>
          <w:color w:val="000000" w:themeColor="text1"/>
          <w:sz w:val="20"/>
          <w:szCs w:val="20"/>
        </w:rPr>
        <w:t>Antigen loading and adsorption</w:t>
      </w:r>
    </w:p>
    <w:p w14:paraId="5778D333" w14:textId="67683F78" w:rsidR="005B4DE2" w:rsidRPr="00F47E2D" w:rsidRDefault="005B4DE2" w:rsidP="00A96053">
      <w:pPr>
        <w:spacing w:line="480" w:lineRule="auto"/>
        <w:rPr>
          <w:rFonts w:ascii="Arial" w:hAnsi="Arial" w:cs="Arial"/>
          <w:color w:val="000000" w:themeColor="text1"/>
          <w:sz w:val="20"/>
          <w:szCs w:val="20"/>
        </w:rPr>
      </w:pPr>
      <w:r w:rsidRPr="00F47E2D">
        <w:rPr>
          <w:rFonts w:ascii="Arial" w:hAnsi="Arial" w:cs="Arial"/>
          <w:color w:val="000000" w:themeColor="text1"/>
          <w:sz w:val="20"/>
          <w:szCs w:val="20"/>
        </w:rPr>
        <w:t xml:space="preserve">Sq@TA/Mn emulsion was mixed with OVA-FITC at room temperature for 30 min. To examine the OVA-FITC loading efficiency, the mixture was centrifuged at 6000 × g for 10 minutes at 4 °C, </w:t>
      </w:r>
      <w:r w:rsidRPr="00F47E2D">
        <w:rPr>
          <w:rFonts w:ascii="Arial" w:hAnsi="Arial" w:cs="Arial"/>
          <w:color w:val="000000" w:themeColor="text1"/>
          <w:sz w:val="20"/>
          <w:szCs w:val="20"/>
        </w:rPr>
        <w:lastRenderedPageBreak/>
        <w:t xml:space="preserve">resulting in two layers. The upper layer was the aggregates of emulsion droplets, and the lower layer was the dispersion phase and fluidic OVA. Thereafter, 200 μL of the lower layer liquid was transferred to a black 96-well plate. A series of FITC-labeled OVA protein </w:t>
      </w:r>
      <w:r w:rsidR="008370A8" w:rsidRPr="00F47E2D">
        <w:rPr>
          <w:rFonts w:ascii="Arial" w:hAnsi="Arial" w:cs="Arial"/>
          <w:color w:val="000000" w:themeColor="text1"/>
          <w:sz w:val="20"/>
          <w:szCs w:val="20"/>
        </w:rPr>
        <w:t>solutions</w:t>
      </w:r>
      <w:r w:rsidRPr="00F47E2D">
        <w:rPr>
          <w:rFonts w:ascii="Arial" w:hAnsi="Arial" w:cs="Arial"/>
          <w:color w:val="000000" w:themeColor="text1"/>
          <w:sz w:val="20"/>
          <w:szCs w:val="20"/>
        </w:rPr>
        <w:t xml:space="preserve"> was prepared at 0.2, 0.1, 0.05, 0.025, 0.0125, 0.00625, 0.003125 mg/mL, and 200 μL of each OVA-FITC solution was transferred to the black 96-well plate. The fluorescence intensity of the OVA-FITC in different </w:t>
      </w:r>
      <w:r w:rsidR="002F646C" w:rsidRPr="00F47E2D">
        <w:rPr>
          <w:rFonts w:ascii="Arial" w:hAnsi="Arial" w:cs="Arial"/>
          <w:color w:val="000000" w:themeColor="text1"/>
          <w:sz w:val="20"/>
          <w:szCs w:val="20"/>
        </w:rPr>
        <w:t>solutions</w:t>
      </w:r>
      <w:r w:rsidRPr="00F47E2D">
        <w:rPr>
          <w:rFonts w:ascii="Arial" w:hAnsi="Arial" w:cs="Arial"/>
          <w:color w:val="000000" w:themeColor="text1"/>
          <w:sz w:val="20"/>
          <w:szCs w:val="20"/>
        </w:rPr>
        <w:t xml:space="preserve"> was determined via multifunctional microplate reader at an excitation wavelength of 488 nm and an emission wavelength of 521 nm. The concentration of OVA in the lower layer was determined using a standard curve. In order to obtain the protein content adsorbed by the emulsion, the OVA content of the lower liquid was subtracted from the total OVA protein added. The loading efficiencies were calculated using the following equation: Loading efficiency = (Total OVA-FITC—OVA-FITC in the lower liquid /Total OVA-FITC × 100%). </w:t>
      </w:r>
    </w:p>
    <w:p w14:paraId="6D475AEF" w14:textId="50D550C5" w:rsidR="005B4DE2" w:rsidRPr="00F47E2D" w:rsidRDefault="00A54453" w:rsidP="00A96053">
      <w:pPr>
        <w:spacing w:line="480" w:lineRule="auto"/>
        <w:rPr>
          <w:rFonts w:ascii="Arial" w:hAnsi="Arial" w:cs="Arial"/>
          <w:color w:val="000000" w:themeColor="text1"/>
          <w:sz w:val="20"/>
          <w:szCs w:val="20"/>
        </w:rPr>
      </w:pPr>
      <w:r w:rsidRPr="00F47E2D">
        <w:rPr>
          <w:rFonts w:ascii="Arial" w:hAnsi="Arial" w:cs="Arial"/>
          <w:color w:val="000000" w:themeColor="text1"/>
          <w:sz w:val="20"/>
          <w:szCs w:val="20"/>
        </w:rPr>
        <w:t>The</w:t>
      </w:r>
      <w:r w:rsidR="00CC400E" w:rsidRPr="00F47E2D">
        <w:rPr>
          <w:rFonts w:ascii="Arial" w:hAnsi="Arial" w:cs="Arial"/>
          <w:color w:val="000000" w:themeColor="text1"/>
          <w:sz w:val="20"/>
          <w:szCs w:val="20"/>
        </w:rPr>
        <w:t xml:space="preserve"> method for </w:t>
      </w:r>
      <w:r w:rsidR="00DA216D" w:rsidRPr="00F47E2D">
        <w:rPr>
          <w:rFonts w:ascii="Arial" w:hAnsi="Arial" w:cs="Arial"/>
          <w:color w:val="000000" w:themeColor="text1"/>
          <w:sz w:val="20"/>
          <w:szCs w:val="20"/>
        </w:rPr>
        <w:t>detecting</w:t>
      </w:r>
      <w:r w:rsidR="00CC400E" w:rsidRPr="00F47E2D">
        <w:rPr>
          <w:rFonts w:ascii="Arial" w:hAnsi="Arial" w:cs="Arial"/>
          <w:color w:val="000000" w:themeColor="text1"/>
          <w:sz w:val="20"/>
          <w:szCs w:val="20"/>
        </w:rPr>
        <w:t xml:space="preserve"> the</w:t>
      </w:r>
      <w:r w:rsidRPr="00F47E2D">
        <w:rPr>
          <w:rFonts w:ascii="Arial" w:hAnsi="Arial" w:cs="Arial"/>
          <w:color w:val="000000" w:themeColor="text1"/>
          <w:sz w:val="20"/>
          <w:szCs w:val="20"/>
        </w:rPr>
        <w:t xml:space="preserve"> loading efficiencies for r-Pal was</w:t>
      </w:r>
      <w:r w:rsidR="00CC400E" w:rsidRPr="00F47E2D">
        <w:rPr>
          <w:rFonts w:ascii="Arial" w:hAnsi="Arial" w:cs="Arial"/>
          <w:sz w:val="20"/>
          <w:szCs w:val="20"/>
        </w:rPr>
        <w:t xml:space="preserve"> </w:t>
      </w:r>
      <w:r w:rsidR="00CC400E" w:rsidRPr="00F47E2D">
        <w:rPr>
          <w:rFonts w:ascii="Arial" w:hAnsi="Arial" w:cs="Arial"/>
          <w:color w:val="000000" w:themeColor="text1"/>
          <w:sz w:val="20"/>
          <w:szCs w:val="20"/>
        </w:rPr>
        <w:t>similar to OVA as described above.</w:t>
      </w:r>
      <w:r w:rsidR="0001501F" w:rsidRPr="00F47E2D">
        <w:rPr>
          <w:rFonts w:ascii="Arial" w:hAnsi="Arial" w:cs="Arial"/>
          <w:color w:val="000000" w:themeColor="text1"/>
          <w:sz w:val="20"/>
          <w:szCs w:val="20"/>
        </w:rPr>
        <w:t xml:space="preserve"> </w:t>
      </w:r>
    </w:p>
    <w:p w14:paraId="07BB372E" w14:textId="3AF7AC4B" w:rsidR="00475A20" w:rsidRPr="00F47E2D" w:rsidRDefault="00475A20" w:rsidP="00A96053">
      <w:pPr>
        <w:spacing w:line="480" w:lineRule="auto"/>
        <w:rPr>
          <w:rFonts w:ascii="Arial" w:hAnsi="Arial" w:cs="Arial"/>
          <w:b/>
          <w:bCs/>
          <w:color w:val="000000" w:themeColor="text1"/>
          <w:sz w:val="20"/>
          <w:szCs w:val="20"/>
        </w:rPr>
      </w:pPr>
      <w:r w:rsidRPr="00F47E2D">
        <w:rPr>
          <w:rFonts w:ascii="Arial" w:hAnsi="Arial" w:cs="Arial"/>
          <w:b/>
          <w:bCs/>
          <w:color w:val="000000" w:themeColor="text1"/>
          <w:sz w:val="20"/>
          <w:szCs w:val="20"/>
        </w:rPr>
        <w:t>Safety estimation of the various OVA vaccines</w:t>
      </w:r>
    </w:p>
    <w:p w14:paraId="0F0EF3AB" w14:textId="382E2B9A" w:rsidR="009A2489" w:rsidRPr="00F47E2D" w:rsidRDefault="00475A20" w:rsidP="00A96053">
      <w:pPr>
        <w:spacing w:line="480" w:lineRule="auto"/>
        <w:rPr>
          <w:rFonts w:ascii="Arial" w:hAnsi="Arial" w:cs="Arial"/>
          <w:color w:val="000000" w:themeColor="text1"/>
          <w:sz w:val="20"/>
          <w:szCs w:val="20"/>
        </w:rPr>
      </w:pPr>
      <w:r w:rsidRPr="00F47E2D">
        <w:rPr>
          <w:rFonts w:ascii="Arial" w:hAnsi="Arial" w:cs="Arial"/>
          <w:color w:val="000000" w:themeColor="text1"/>
          <w:sz w:val="20"/>
          <w:szCs w:val="20"/>
        </w:rPr>
        <w:t>Female C57BL/6 mice aged six to eight weeks were treated through intramuscular injections of different preparations containing OVA (20 μg /dose of OVA) on day 0, 14, and 21. On Day 30, serum samples were collected to determine serum biochemical indices and major organs were collected</w:t>
      </w:r>
      <w:r w:rsidR="009A2489" w:rsidRPr="00F47E2D">
        <w:rPr>
          <w:rFonts w:ascii="Arial" w:hAnsi="Arial" w:cs="Arial"/>
          <w:color w:val="000000" w:themeColor="text1"/>
          <w:sz w:val="20"/>
          <w:szCs w:val="20"/>
        </w:rPr>
        <w:t>. The important indicators (AST, ALT, ALP, LDH, BUN) in the serum were measured by a biochemical autoanalyzer. The primary organs of heart, liver, spleen, lung, and kidney were stained with H&amp;E and observed by microscopy.</w:t>
      </w:r>
    </w:p>
    <w:p w14:paraId="1334A58B" w14:textId="1BEEFBFE" w:rsidR="00C230C6" w:rsidRPr="00F47E2D" w:rsidRDefault="00C230C6" w:rsidP="00A96053">
      <w:pPr>
        <w:spacing w:line="480" w:lineRule="auto"/>
        <w:rPr>
          <w:rFonts w:ascii="Arial" w:hAnsi="Arial" w:cs="Arial"/>
          <w:b/>
          <w:bCs/>
          <w:color w:val="000000" w:themeColor="text1"/>
          <w:sz w:val="20"/>
          <w:szCs w:val="20"/>
        </w:rPr>
      </w:pPr>
      <w:r w:rsidRPr="00F47E2D">
        <w:rPr>
          <w:rFonts w:ascii="Arial" w:hAnsi="Arial" w:cs="Arial"/>
          <w:b/>
          <w:bCs/>
          <w:color w:val="000000" w:themeColor="text1"/>
          <w:sz w:val="20"/>
          <w:szCs w:val="20"/>
        </w:rPr>
        <w:lastRenderedPageBreak/>
        <w:t>Measurement of immune cells in the lungs</w:t>
      </w:r>
    </w:p>
    <w:p w14:paraId="71BF5FB0" w14:textId="4C22146A" w:rsidR="00CE13FD" w:rsidRPr="00F47E2D" w:rsidRDefault="00C230C6" w:rsidP="00CE13FD">
      <w:pPr>
        <w:spacing w:after="240" w:line="480" w:lineRule="auto"/>
        <w:rPr>
          <w:rFonts w:ascii="Arial" w:hAnsi="Arial" w:cs="Arial"/>
          <w:color w:val="000000" w:themeColor="text1"/>
          <w:sz w:val="20"/>
          <w:szCs w:val="20"/>
        </w:rPr>
      </w:pPr>
      <w:r w:rsidRPr="00F47E2D">
        <w:rPr>
          <w:rFonts w:ascii="Arial" w:hAnsi="Arial" w:cs="Arial"/>
          <w:color w:val="000000" w:themeColor="text1"/>
          <w:sz w:val="20"/>
          <w:szCs w:val="20"/>
        </w:rPr>
        <w:t>On Day 30, the lungs of immunized mice were harvested and processed. Lung tissues were minced with scalpels and treated with DMEM medium containing 1% collagenase type I and 1% collagenase type IV for 40 min at 37 °C. Then the lung tissue suspension was passed through 70-mesh cell strainers and treated with red blood cell lysate for 5 min to obtain single-cell suspensions. The single-cell suspensions were washed once with PBS and resuspended in PBS containing 0.2% FBS. Cells were stained with fluorescently labeled antibodies for 30 min at 4 °C and samples were analyzed on a FCM instrument</w:t>
      </w:r>
      <w:r w:rsidR="00F26207" w:rsidRPr="00F47E2D">
        <w:rPr>
          <w:rFonts w:ascii="Arial" w:hAnsi="Arial" w:cs="Arial"/>
          <w:color w:val="000000" w:themeColor="text1"/>
          <w:sz w:val="20"/>
          <w:szCs w:val="20"/>
        </w:rPr>
        <w:t xml:space="preserve"> (Becton Dickinson, LSRFortessa).</w:t>
      </w:r>
      <w:r w:rsidRPr="00F47E2D">
        <w:rPr>
          <w:rFonts w:ascii="Arial" w:hAnsi="Arial" w:cs="Arial"/>
          <w:color w:val="000000" w:themeColor="text1"/>
          <w:sz w:val="20"/>
          <w:szCs w:val="20"/>
        </w:rPr>
        <w:t xml:space="preserve"> Antibodies used to detect TRMs in lung tissues are as follows: anti-CD3, anti-CD4, anti-CD8, anti-CD44, anti-CD69, anti-CD103. </w:t>
      </w:r>
    </w:p>
    <w:p w14:paraId="55C6E6E3" w14:textId="77F46BA7" w:rsidR="00CE13FD" w:rsidRPr="00F47E2D" w:rsidRDefault="00893609" w:rsidP="00CE13FD">
      <w:pPr>
        <w:pStyle w:val="EndNoteBibliography"/>
        <w:jc w:val="center"/>
        <w:rPr>
          <w:rFonts w:ascii="Arial" w:hAnsi="Arial" w:cs="Arial"/>
          <w:sz w:val="20"/>
          <w:szCs w:val="20"/>
        </w:rPr>
      </w:pPr>
      <w:r w:rsidRPr="00F47E2D">
        <w:drawing>
          <wp:inline distT="0" distB="0" distL="0" distR="0" wp14:anchorId="45BA2AAD" wp14:editId="501CBFB4">
            <wp:extent cx="4646428" cy="2067565"/>
            <wp:effectExtent l="0" t="0" r="0" b="0"/>
            <wp:docPr id="4298696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3182" cy="2075020"/>
                    </a:xfrm>
                    <a:prstGeom prst="rect">
                      <a:avLst/>
                    </a:prstGeom>
                    <a:noFill/>
                    <a:ln>
                      <a:noFill/>
                    </a:ln>
                  </pic:spPr>
                </pic:pic>
              </a:graphicData>
            </a:graphic>
          </wp:inline>
        </w:drawing>
      </w:r>
    </w:p>
    <w:p w14:paraId="4A94675C" w14:textId="54E57F7C" w:rsidR="00CE13FD" w:rsidRPr="00F47E2D" w:rsidRDefault="00CE13FD" w:rsidP="00CE13FD">
      <w:pPr>
        <w:widowControl/>
        <w:spacing w:after="240" w:line="480" w:lineRule="auto"/>
        <w:rPr>
          <w:rFonts w:ascii="Arial" w:eastAsia="CIDFont+F1" w:hAnsi="Arial" w:cs="Arial"/>
          <w:sz w:val="20"/>
          <w:szCs w:val="20"/>
        </w:rPr>
      </w:pPr>
      <w:bookmarkStart w:id="2" w:name="OLE_LINK1"/>
      <w:r w:rsidRPr="00F47E2D">
        <w:rPr>
          <w:rFonts w:ascii="Arial" w:eastAsia="CIDFont+F1" w:hAnsi="Arial" w:cs="Arial"/>
          <w:b/>
          <w:bCs/>
          <w:sz w:val="20"/>
          <w:szCs w:val="20"/>
        </w:rPr>
        <w:t>Figure S1.</w:t>
      </w:r>
      <w:r w:rsidRPr="00F47E2D">
        <w:rPr>
          <w:rFonts w:ascii="Arial" w:eastAsia="CIDFont+F1" w:hAnsi="Arial" w:cs="Arial"/>
          <w:sz w:val="20"/>
          <w:szCs w:val="20"/>
        </w:rPr>
        <w:t xml:space="preserve"> </w:t>
      </w:r>
      <w:r w:rsidRPr="00F47E2D">
        <w:rPr>
          <w:rFonts w:ascii="Arial" w:eastAsia="Times New Roman" w:hAnsi="Arial" w:cs="Arial"/>
          <w:sz w:val="20"/>
          <w:szCs w:val="20"/>
        </w:rPr>
        <w:t>A</w:t>
      </w:r>
      <w:r w:rsidRPr="00F47E2D">
        <w:rPr>
          <w:rFonts w:ascii="Arial" w:hAnsi="Arial" w:cs="Arial"/>
          <w:sz w:val="20"/>
          <w:szCs w:val="20"/>
        </w:rPr>
        <w:t xml:space="preserve">verage </w:t>
      </w:r>
      <w:r w:rsidRPr="00F47E2D">
        <w:rPr>
          <w:rFonts w:ascii="Arial" w:eastAsia="CIDFont+F1" w:hAnsi="Arial" w:cs="Arial"/>
          <w:sz w:val="20"/>
          <w:szCs w:val="20"/>
        </w:rPr>
        <w:t>size (</w:t>
      </w:r>
      <w:r w:rsidRPr="00F47E2D">
        <w:rPr>
          <w:rFonts w:ascii="Arial" w:eastAsia="CIDFont+F3" w:hAnsi="Arial" w:cs="Arial"/>
          <w:sz w:val="20"/>
          <w:szCs w:val="20"/>
        </w:rPr>
        <w:t>A</w:t>
      </w:r>
      <w:r w:rsidRPr="00F47E2D">
        <w:rPr>
          <w:rFonts w:ascii="Arial" w:eastAsia="CIDFont+F1" w:hAnsi="Arial" w:cs="Arial"/>
          <w:sz w:val="20"/>
          <w:szCs w:val="20"/>
        </w:rPr>
        <w:t>) and zeta-potential (B) of TA/Mn</w:t>
      </w:r>
      <w:r w:rsidR="0071345A" w:rsidRPr="00F47E2D">
        <w:rPr>
          <w:rFonts w:ascii="Arial" w:eastAsia="CIDFont+F1" w:hAnsi="Arial" w:cs="Arial" w:hint="eastAsia"/>
          <w:sz w:val="20"/>
          <w:szCs w:val="20"/>
        </w:rPr>
        <w:t xml:space="preserve"> </w:t>
      </w:r>
      <w:r w:rsidR="0071345A" w:rsidRPr="00F47E2D">
        <w:rPr>
          <w:rFonts w:ascii="Arial" w:eastAsia="CIDFont+F1" w:hAnsi="Arial" w:cs="Arial"/>
          <w:sz w:val="20"/>
          <w:szCs w:val="20"/>
        </w:rPr>
        <w:t xml:space="preserve">and </w:t>
      </w:r>
      <w:r w:rsidRPr="00F47E2D">
        <w:rPr>
          <w:rFonts w:ascii="Arial" w:eastAsia="CIDFont+F1" w:hAnsi="Arial" w:cs="Arial"/>
          <w:sz w:val="20"/>
          <w:szCs w:val="20"/>
        </w:rPr>
        <w:t xml:space="preserve">TA/Mn@OVA measured using DLS. </w:t>
      </w:r>
    </w:p>
    <w:bookmarkEnd w:id="2"/>
    <w:p w14:paraId="3A4E068B" w14:textId="59720AB8" w:rsidR="00CE13FD" w:rsidRPr="00F47E2D" w:rsidRDefault="00B3379B" w:rsidP="00B3379B">
      <w:pPr>
        <w:widowControl/>
        <w:spacing w:after="240" w:line="480" w:lineRule="auto"/>
        <w:jc w:val="center"/>
        <w:rPr>
          <w:rFonts w:ascii="Arial" w:eastAsia="CIDFont+F1" w:hAnsi="Arial" w:cs="Arial"/>
          <w:sz w:val="20"/>
          <w:szCs w:val="20"/>
        </w:rPr>
      </w:pPr>
      <w:r w:rsidRPr="00F47E2D">
        <w:rPr>
          <w:rFonts w:ascii="Arial" w:eastAsia="CIDFont+F1" w:hAnsi="Arial" w:cs="Arial"/>
          <w:noProof/>
          <w:sz w:val="20"/>
          <w:szCs w:val="20"/>
        </w:rPr>
        <w:lastRenderedPageBreak/>
        <w:drawing>
          <wp:inline distT="0" distB="0" distL="0" distR="0" wp14:anchorId="0CA51C79" wp14:editId="50E77D20">
            <wp:extent cx="5220000" cy="5876094"/>
            <wp:effectExtent l="0" t="0" r="0" b="0"/>
            <wp:docPr id="881928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000" cy="5876094"/>
                    </a:xfrm>
                    <a:prstGeom prst="rect">
                      <a:avLst/>
                    </a:prstGeom>
                    <a:noFill/>
                  </pic:spPr>
                </pic:pic>
              </a:graphicData>
            </a:graphic>
          </wp:inline>
        </w:drawing>
      </w:r>
    </w:p>
    <w:p w14:paraId="5E5DDF55" w14:textId="2C0D2579" w:rsidR="00CE13FD" w:rsidRPr="00F47E2D" w:rsidRDefault="00CE13FD" w:rsidP="00CE13FD">
      <w:pPr>
        <w:widowControl/>
        <w:spacing w:after="240" w:line="480" w:lineRule="auto"/>
        <w:rPr>
          <w:rFonts w:ascii="Arial" w:hAnsi="Arial" w:cs="Arial"/>
          <w:sz w:val="20"/>
          <w:szCs w:val="20"/>
        </w:rPr>
      </w:pPr>
      <w:bookmarkStart w:id="3" w:name="_Hlk205387589"/>
      <w:r w:rsidRPr="00F47E2D">
        <w:rPr>
          <w:rFonts w:ascii="Arial" w:hAnsi="Arial" w:cs="Arial"/>
          <w:b/>
          <w:bCs/>
          <w:sz w:val="20"/>
          <w:szCs w:val="20"/>
        </w:rPr>
        <w:t>Figure S</w:t>
      </w:r>
      <w:r w:rsidR="00CF01FF" w:rsidRPr="00F47E2D">
        <w:rPr>
          <w:rFonts w:ascii="Arial" w:hAnsi="Arial" w:cs="Arial" w:hint="eastAsia"/>
          <w:b/>
          <w:bCs/>
          <w:sz w:val="20"/>
          <w:szCs w:val="20"/>
        </w:rPr>
        <w:t>2</w:t>
      </w:r>
      <w:r w:rsidRPr="00F47E2D">
        <w:rPr>
          <w:rFonts w:ascii="Arial" w:hAnsi="Arial" w:cs="Arial"/>
          <w:bCs/>
          <w:sz w:val="20"/>
          <w:szCs w:val="20"/>
        </w:rPr>
        <w:t xml:space="preserve">. (A) </w:t>
      </w:r>
      <w:r w:rsidRPr="00F47E2D">
        <w:rPr>
          <w:rFonts w:ascii="Arial" w:eastAsia="CIDFont+F1" w:hAnsi="Arial" w:cs="Arial"/>
          <w:sz w:val="20"/>
          <w:szCs w:val="20"/>
        </w:rPr>
        <w:t xml:space="preserve">TEM mapping images of the TA/Mn@OVA. O and Mn are represented in red and orange, respectively. Scale bar, 200 nm. </w:t>
      </w:r>
      <w:r w:rsidRPr="00F47E2D">
        <w:rPr>
          <w:rFonts w:ascii="Arial" w:hAnsi="Arial" w:cs="Arial"/>
          <w:bCs/>
          <w:sz w:val="20"/>
          <w:szCs w:val="20"/>
        </w:rPr>
        <w:t xml:space="preserve">(B) </w:t>
      </w:r>
      <w:r w:rsidRPr="00F47E2D">
        <w:rPr>
          <w:rFonts w:ascii="Arial" w:hAnsi="Arial" w:cs="Arial"/>
          <w:sz w:val="20"/>
          <w:szCs w:val="20"/>
        </w:rPr>
        <w:t xml:space="preserve">Element analysis of </w:t>
      </w:r>
      <w:r w:rsidRPr="00F47E2D">
        <w:rPr>
          <w:rFonts w:ascii="Arial" w:eastAsia="CIDFont+F1" w:hAnsi="Arial" w:cs="Arial"/>
          <w:sz w:val="20"/>
          <w:szCs w:val="20"/>
        </w:rPr>
        <w:t>TA/Mn@OVA</w:t>
      </w:r>
      <w:r w:rsidRPr="00F47E2D">
        <w:rPr>
          <w:rFonts w:ascii="Arial" w:hAnsi="Arial" w:cs="Arial"/>
          <w:sz w:val="20"/>
          <w:szCs w:val="20"/>
        </w:rPr>
        <w:t xml:space="preserve">. </w:t>
      </w:r>
    </w:p>
    <w:p w14:paraId="524D9BBD" w14:textId="77777777" w:rsidR="00CE13FD" w:rsidRPr="00F47E2D" w:rsidRDefault="00CE13FD" w:rsidP="00CE13FD">
      <w:pPr>
        <w:widowControl/>
        <w:spacing w:after="240" w:line="480" w:lineRule="auto"/>
        <w:jc w:val="center"/>
        <w:rPr>
          <w:rFonts w:ascii="Arial" w:eastAsia="CIDFont+F1" w:hAnsi="Arial" w:cs="Arial"/>
          <w:sz w:val="20"/>
          <w:szCs w:val="20"/>
        </w:rPr>
      </w:pPr>
      <w:r w:rsidRPr="00F47E2D">
        <w:rPr>
          <w:noProof/>
        </w:rPr>
        <w:lastRenderedPageBreak/>
        <w:drawing>
          <wp:inline distT="0" distB="0" distL="0" distR="0" wp14:anchorId="1F15DC58" wp14:editId="5CA0B29F">
            <wp:extent cx="4834773" cy="2704669"/>
            <wp:effectExtent l="0" t="0" r="4445" b="635"/>
            <wp:docPr id="15514229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13176" cy="2748529"/>
                    </a:xfrm>
                    <a:prstGeom prst="rect">
                      <a:avLst/>
                    </a:prstGeom>
                    <a:noFill/>
                    <a:ln>
                      <a:noFill/>
                    </a:ln>
                  </pic:spPr>
                </pic:pic>
              </a:graphicData>
            </a:graphic>
          </wp:inline>
        </w:drawing>
      </w:r>
    </w:p>
    <w:p w14:paraId="065C9607" w14:textId="40735013" w:rsidR="00CE13FD" w:rsidRPr="00F47E2D" w:rsidRDefault="00CE13FD" w:rsidP="00CE13FD">
      <w:pPr>
        <w:snapToGrid w:val="0"/>
        <w:spacing w:after="240" w:line="480" w:lineRule="auto"/>
        <w:rPr>
          <w:rFonts w:ascii="Arial" w:hAnsi="Arial" w:cs="Arial"/>
          <w:bCs/>
          <w:sz w:val="20"/>
          <w:szCs w:val="20"/>
        </w:rPr>
      </w:pPr>
      <w:bookmarkStart w:id="4" w:name="OLE_LINK414"/>
      <w:bookmarkStart w:id="5" w:name="OLE_LINK415"/>
      <w:bookmarkEnd w:id="3"/>
      <w:r w:rsidRPr="00F47E2D">
        <w:rPr>
          <w:rFonts w:ascii="Arial" w:hAnsi="Arial" w:cs="Arial"/>
          <w:b/>
          <w:sz w:val="20"/>
          <w:szCs w:val="20"/>
        </w:rPr>
        <w:t>Figure S</w:t>
      </w:r>
      <w:r w:rsidR="005157BD" w:rsidRPr="00F47E2D">
        <w:rPr>
          <w:rFonts w:ascii="Arial" w:hAnsi="Arial" w:cs="Arial" w:hint="eastAsia"/>
          <w:b/>
          <w:sz w:val="20"/>
          <w:szCs w:val="20"/>
        </w:rPr>
        <w:t>3</w:t>
      </w:r>
      <w:r w:rsidRPr="00F47E2D">
        <w:rPr>
          <w:rFonts w:ascii="Arial" w:hAnsi="Arial" w:cs="Arial"/>
          <w:b/>
          <w:sz w:val="20"/>
          <w:szCs w:val="20"/>
        </w:rPr>
        <w:t>.</w:t>
      </w:r>
      <w:bookmarkEnd w:id="4"/>
      <w:bookmarkEnd w:id="5"/>
      <w:r w:rsidRPr="00F47E2D">
        <w:rPr>
          <w:rFonts w:ascii="Arial" w:hAnsi="Arial" w:cs="Arial"/>
          <w:b/>
          <w:sz w:val="20"/>
          <w:szCs w:val="20"/>
        </w:rPr>
        <w:t xml:space="preserve"> </w:t>
      </w:r>
      <w:r w:rsidRPr="00F47E2D">
        <w:rPr>
          <w:rFonts w:ascii="Arial" w:hAnsi="Arial" w:cs="Arial"/>
          <w:bCs/>
          <w:sz w:val="20"/>
          <w:szCs w:val="20"/>
        </w:rPr>
        <w:t>Photos of nano-emulsions prepared under different ultrasound power conditions; The aggregated nano-emulsions were pointed out by the red dashed line.</w:t>
      </w:r>
    </w:p>
    <w:p w14:paraId="28F44164" w14:textId="1BFA1801" w:rsidR="00CE13FD" w:rsidRPr="00F47E2D" w:rsidRDefault="00E53BB0" w:rsidP="00CE13FD">
      <w:pPr>
        <w:snapToGrid w:val="0"/>
        <w:spacing w:line="480" w:lineRule="auto"/>
        <w:jc w:val="center"/>
        <w:rPr>
          <w:rFonts w:ascii="Arial" w:hAnsi="Arial" w:cs="Arial"/>
          <w:bCs/>
          <w:sz w:val="20"/>
          <w:szCs w:val="20"/>
        </w:rPr>
      </w:pPr>
      <w:r w:rsidRPr="00F47E2D">
        <w:rPr>
          <w:noProof/>
        </w:rPr>
        <w:drawing>
          <wp:inline distT="0" distB="0" distL="0" distR="0" wp14:anchorId="4D954005" wp14:editId="0729D1F5">
            <wp:extent cx="3174327" cy="2292598"/>
            <wp:effectExtent l="0" t="0" r="0" b="0"/>
            <wp:docPr id="62903678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0528" cy="2297077"/>
                    </a:xfrm>
                    <a:prstGeom prst="rect">
                      <a:avLst/>
                    </a:prstGeom>
                    <a:noFill/>
                    <a:ln>
                      <a:noFill/>
                    </a:ln>
                  </pic:spPr>
                </pic:pic>
              </a:graphicData>
            </a:graphic>
          </wp:inline>
        </w:drawing>
      </w:r>
    </w:p>
    <w:p w14:paraId="5AB711B4" w14:textId="0F5545D9" w:rsidR="005157BD" w:rsidRPr="00F47E2D" w:rsidRDefault="00CE13FD" w:rsidP="00CE13FD">
      <w:pPr>
        <w:snapToGrid w:val="0"/>
        <w:spacing w:after="240" w:line="480" w:lineRule="auto"/>
        <w:rPr>
          <w:rFonts w:ascii="Arial" w:hAnsi="Arial" w:cs="Arial"/>
          <w:sz w:val="20"/>
          <w:szCs w:val="20"/>
        </w:rPr>
      </w:pPr>
      <w:r w:rsidRPr="00F47E2D">
        <w:rPr>
          <w:rFonts w:ascii="Arial" w:hAnsi="Arial" w:cs="Arial"/>
          <w:b/>
          <w:bCs/>
          <w:sz w:val="20"/>
          <w:szCs w:val="20"/>
        </w:rPr>
        <w:t>Figure S</w:t>
      </w:r>
      <w:r w:rsidR="005157BD" w:rsidRPr="00F47E2D">
        <w:rPr>
          <w:rFonts w:ascii="Arial" w:hAnsi="Arial" w:cs="Arial" w:hint="eastAsia"/>
          <w:b/>
          <w:bCs/>
          <w:sz w:val="20"/>
          <w:szCs w:val="20"/>
        </w:rPr>
        <w:t>4</w:t>
      </w:r>
      <w:r w:rsidRPr="00F47E2D">
        <w:rPr>
          <w:rFonts w:ascii="Arial" w:hAnsi="Arial" w:cs="Arial"/>
          <w:b/>
          <w:bCs/>
          <w:sz w:val="20"/>
          <w:szCs w:val="20"/>
        </w:rPr>
        <w:t xml:space="preserve">. </w:t>
      </w:r>
      <w:r w:rsidRPr="00F47E2D">
        <w:rPr>
          <w:rFonts w:ascii="Arial" w:hAnsi="Arial" w:cs="Arial"/>
          <w:sz w:val="20"/>
          <w:szCs w:val="20"/>
        </w:rPr>
        <w:t>The size and polydispersity of Sq@TA/Mn assayed by DLS.</w:t>
      </w:r>
    </w:p>
    <w:p w14:paraId="4F418FCB" w14:textId="77777777" w:rsidR="005157BD" w:rsidRPr="00F47E2D" w:rsidRDefault="00AC1B43" w:rsidP="00B845E2">
      <w:pPr>
        <w:widowControl/>
        <w:spacing w:line="480" w:lineRule="auto"/>
        <w:jc w:val="center"/>
        <w:rPr>
          <w:rFonts w:ascii="Arial" w:eastAsia="CIDFont+F1" w:hAnsi="Arial" w:cs="Arial"/>
          <w:b/>
          <w:bCs/>
          <w:sz w:val="20"/>
          <w:szCs w:val="20"/>
        </w:rPr>
      </w:pPr>
      <w:r w:rsidRPr="00F47E2D">
        <w:rPr>
          <w:noProof/>
        </w:rPr>
        <w:lastRenderedPageBreak/>
        <w:drawing>
          <wp:inline distT="0" distB="0" distL="0" distR="0" wp14:anchorId="5A63463C" wp14:editId="1CC62B5F">
            <wp:extent cx="4944140" cy="2269090"/>
            <wp:effectExtent l="0" t="0" r="0" b="0"/>
            <wp:docPr id="5389678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8755" cy="2271208"/>
                    </a:xfrm>
                    <a:prstGeom prst="rect">
                      <a:avLst/>
                    </a:prstGeom>
                    <a:noFill/>
                    <a:ln>
                      <a:noFill/>
                    </a:ln>
                  </pic:spPr>
                </pic:pic>
              </a:graphicData>
            </a:graphic>
          </wp:inline>
        </w:drawing>
      </w:r>
    </w:p>
    <w:p w14:paraId="2BC77EE8" w14:textId="3FB1583A" w:rsidR="00A93856" w:rsidRPr="00F47E2D" w:rsidRDefault="00A93856" w:rsidP="005157BD">
      <w:pPr>
        <w:widowControl/>
        <w:spacing w:after="240" w:line="480" w:lineRule="auto"/>
        <w:rPr>
          <w:rFonts w:ascii="Arial" w:eastAsia="CIDFont+F1" w:hAnsi="Arial" w:cs="Arial"/>
          <w:sz w:val="20"/>
          <w:szCs w:val="20"/>
        </w:rPr>
      </w:pPr>
      <w:r w:rsidRPr="00F47E2D">
        <w:rPr>
          <w:rFonts w:ascii="Arial" w:eastAsia="CIDFont+F1" w:hAnsi="Arial" w:cs="Arial"/>
          <w:b/>
          <w:bCs/>
          <w:sz w:val="20"/>
          <w:szCs w:val="20"/>
        </w:rPr>
        <w:t>Figure S</w:t>
      </w:r>
      <w:r w:rsidR="005157BD" w:rsidRPr="00F47E2D">
        <w:rPr>
          <w:rFonts w:ascii="Arial" w:eastAsia="CIDFont+F1" w:hAnsi="Arial" w:cs="Arial" w:hint="eastAsia"/>
          <w:b/>
          <w:bCs/>
          <w:sz w:val="20"/>
          <w:szCs w:val="20"/>
        </w:rPr>
        <w:t>5</w:t>
      </w:r>
      <w:r w:rsidRPr="00F47E2D">
        <w:rPr>
          <w:rFonts w:ascii="Arial" w:eastAsia="CIDFont+F1" w:hAnsi="Arial" w:cs="Arial"/>
          <w:b/>
          <w:bCs/>
          <w:sz w:val="20"/>
          <w:szCs w:val="20"/>
        </w:rPr>
        <w:t>.</w:t>
      </w:r>
      <w:r w:rsidRPr="00F47E2D">
        <w:rPr>
          <w:rFonts w:ascii="Arial" w:eastAsia="CIDFont+F1" w:hAnsi="Arial" w:cs="Arial"/>
          <w:sz w:val="20"/>
          <w:szCs w:val="20"/>
        </w:rPr>
        <w:t xml:space="preserve"> </w:t>
      </w:r>
      <w:r w:rsidRPr="00F47E2D">
        <w:rPr>
          <w:rFonts w:ascii="Arial" w:eastAsia="Times New Roman" w:hAnsi="Arial" w:cs="Arial"/>
          <w:sz w:val="20"/>
          <w:szCs w:val="20"/>
        </w:rPr>
        <w:t>A</w:t>
      </w:r>
      <w:r w:rsidRPr="00F47E2D">
        <w:rPr>
          <w:rFonts w:ascii="Arial" w:hAnsi="Arial" w:cs="Arial"/>
          <w:sz w:val="20"/>
          <w:szCs w:val="20"/>
        </w:rPr>
        <w:t xml:space="preserve">verage </w:t>
      </w:r>
      <w:r w:rsidRPr="00F47E2D">
        <w:rPr>
          <w:rFonts w:ascii="Arial" w:eastAsia="CIDFont+F1" w:hAnsi="Arial" w:cs="Arial"/>
          <w:sz w:val="20"/>
          <w:szCs w:val="20"/>
        </w:rPr>
        <w:t>size (</w:t>
      </w:r>
      <w:r w:rsidRPr="00F47E2D">
        <w:rPr>
          <w:rFonts w:ascii="Arial" w:eastAsia="CIDFont+F3" w:hAnsi="Arial" w:cs="Arial"/>
          <w:sz w:val="20"/>
          <w:szCs w:val="20"/>
        </w:rPr>
        <w:t>A</w:t>
      </w:r>
      <w:r w:rsidRPr="00F47E2D">
        <w:rPr>
          <w:rFonts w:ascii="Arial" w:eastAsia="CIDFont+F1" w:hAnsi="Arial" w:cs="Arial"/>
          <w:sz w:val="20"/>
          <w:szCs w:val="20"/>
        </w:rPr>
        <w:t xml:space="preserve">) and zeta-potential (B) of </w:t>
      </w:r>
      <w:r w:rsidR="00AC1B43" w:rsidRPr="00F47E2D">
        <w:rPr>
          <w:rFonts w:ascii="Arial" w:eastAsia="CIDFont+F1" w:hAnsi="Arial" w:cs="Arial"/>
          <w:sz w:val="20"/>
          <w:szCs w:val="20"/>
        </w:rPr>
        <w:t>Sq@TA/Mn</w:t>
      </w:r>
      <w:r w:rsidR="00AC1B43" w:rsidRPr="00F47E2D">
        <w:rPr>
          <w:rFonts w:ascii="Arial" w:eastAsia="CIDFont+F1" w:hAnsi="Arial" w:cs="Arial" w:hint="eastAsia"/>
          <w:sz w:val="20"/>
          <w:szCs w:val="20"/>
        </w:rPr>
        <w:t xml:space="preserve">, </w:t>
      </w:r>
      <w:r w:rsidRPr="00F47E2D">
        <w:rPr>
          <w:rFonts w:ascii="Arial" w:eastAsia="CIDFont+F1" w:hAnsi="Arial" w:cs="Arial"/>
          <w:sz w:val="20"/>
          <w:szCs w:val="20"/>
        </w:rPr>
        <w:t>Sq@TA/Mn@OVA and</w:t>
      </w:r>
      <w:r w:rsidRPr="00F47E2D">
        <w:rPr>
          <w:rFonts w:ascii="Arial" w:eastAsia="CIDFont+F1" w:hAnsi="Arial" w:cs="Arial" w:hint="eastAsia"/>
          <w:sz w:val="20"/>
          <w:szCs w:val="20"/>
        </w:rPr>
        <w:t xml:space="preserve"> Alum@OVA</w:t>
      </w:r>
      <w:r w:rsidRPr="00F47E2D">
        <w:rPr>
          <w:rFonts w:ascii="Arial" w:eastAsia="CIDFont+F1" w:hAnsi="Arial" w:cs="Arial"/>
          <w:sz w:val="20"/>
          <w:szCs w:val="20"/>
        </w:rPr>
        <w:t xml:space="preserve"> measured using DLS.</w:t>
      </w:r>
    </w:p>
    <w:p w14:paraId="5AABF70E" w14:textId="77777777" w:rsidR="00F03DBF" w:rsidRPr="00F47E2D" w:rsidRDefault="00F03DBF" w:rsidP="00B845E2">
      <w:pPr>
        <w:widowControl/>
        <w:spacing w:line="480" w:lineRule="auto"/>
        <w:rPr>
          <w:rFonts w:ascii="Arial" w:eastAsia="CIDFont+F1" w:hAnsi="Arial" w:cs="Arial"/>
          <w:sz w:val="20"/>
          <w:szCs w:val="20"/>
        </w:rPr>
      </w:pPr>
      <w:r w:rsidRPr="00F47E2D">
        <w:rPr>
          <w:noProof/>
        </w:rPr>
        <w:drawing>
          <wp:inline distT="0" distB="0" distL="0" distR="0" wp14:anchorId="1A8AA500" wp14:editId="53E8AFA4">
            <wp:extent cx="5274310" cy="2747010"/>
            <wp:effectExtent l="0" t="0" r="0" b="0"/>
            <wp:docPr id="8300877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747010"/>
                    </a:xfrm>
                    <a:prstGeom prst="rect">
                      <a:avLst/>
                    </a:prstGeom>
                    <a:noFill/>
                    <a:ln>
                      <a:noFill/>
                    </a:ln>
                  </pic:spPr>
                </pic:pic>
              </a:graphicData>
            </a:graphic>
          </wp:inline>
        </w:drawing>
      </w:r>
    </w:p>
    <w:p w14:paraId="1E2F3D8B" w14:textId="3FC836A6" w:rsidR="00F03DBF" w:rsidRPr="00F47E2D" w:rsidRDefault="00F03DBF" w:rsidP="00F03DBF">
      <w:pPr>
        <w:widowControl/>
        <w:spacing w:after="240" w:line="480" w:lineRule="auto"/>
        <w:rPr>
          <w:rFonts w:ascii="Arial" w:eastAsia="CIDFont+F1" w:hAnsi="Arial" w:cs="Arial"/>
          <w:sz w:val="20"/>
          <w:szCs w:val="20"/>
        </w:rPr>
      </w:pPr>
      <w:r w:rsidRPr="00F47E2D">
        <w:rPr>
          <w:rFonts w:ascii="Arial" w:eastAsia="CIDFont+F1" w:hAnsi="Arial" w:cs="Arial"/>
          <w:b/>
          <w:bCs/>
          <w:sz w:val="20"/>
          <w:szCs w:val="20"/>
        </w:rPr>
        <w:t>Figure S</w:t>
      </w:r>
      <w:r w:rsidR="00E37459" w:rsidRPr="00F47E2D">
        <w:rPr>
          <w:rFonts w:ascii="Arial" w:eastAsia="CIDFont+F1" w:hAnsi="Arial" w:cs="Arial" w:hint="eastAsia"/>
          <w:b/>
          <w:bCs/>
          <w:sz w:val="20"/>
          <w:szCs w:val="20"/>
        </w:rPr>
        <w:t>6</w:t>
      </w:r>
      <w:r w:rsidRPr="00F47E2D">
        <w:rPr>
          <w:rFonts w:ascii="Arial" w:eastAsia="CIDFont+F1" w:hAnsi="Arial" w:cs="Arial"/>
          <w:b/>
          <w:bCs/>
          <w:sz w:val="20"/>
          <w:szCs w:val="20"/>
        </w:rPr>
        <w:t>.</w:t>
      </w:r>
      <w:r w:rsidRPr="00F47E2D">
        <w:t xml:space="preserve"> </w:t>
      </w:r>
      <w:r w:rsidRPr="00F47E2D">
        <w:rPr>
          <w:rFonts w:ascii="Arial" w:eastAsia="CIDFont+F1" w:hAnsi="Arial" w:cs="Arial" w:hint="eastAsia"/>
          <w:sz w:val="20"/>
          <w:szCs w:val="20"/>
        </w:rPr>
        <w:t>P</w:t>
      </w:r>
      <w:r w:rsidRPr="00F47E2D">
        <w:rPr>
          <w:rFonts w:ascii="Arial" w:eastAsia="CIDFont+F1" w:hAnsi="Arial" w:cs="Arial"/>
          <w:sz w:val="20"/>
          <w:szCs w:val="20"/>
        </w:rPr>
        <w:t xml:space="preserve">article size, polydispersity index (PDI), and zeta potential </w:t>
      </w:r>
      <w:r w:rsidRPr="00F47E2D">
        <w:rPr>
          <w:rFonts w:ascii="Arial" w:eastAsia="CIDFont+F1" w:hAnsi="Arial" w:cs="Arial" w:hint="eastAsia"/>
          <w:sz w:val="20"/>
          <w:szCs w:val="20"/>
        </w:rPr>
        <w:t>of</w:t>
      </w:r>
      <w:r w:rsidRPr="00F47E2D">
        <w:rPr>
          <w:rFonts w:ascii="Arial" w:eastAsia="CIDFont+F1" w:hAnsi="Arial" w:cs="Arial"/>
          <w:sz w:val="20"/>
          <w:szCs w:val="20"/>
        </w:rPr>
        <w:t xml:space="preserve"> Sq@TA/Mn@OVA</w:t>
      </w:r>
      <w:r w:rsidRPr="00F47E2D">
        <w:rPr>
          <w:rFonts w:ascii="Arial" w:eastAsia="CIDFont+F1" w:hAnsi="Arial" w:cs="Arial" w:hint="eastAsia"/>
          <w:sz w:val="20"/>
          <w:szCs w:val="20"/>
        </w:rPr>
        <w:t xml:space="preserve"> </w:t>
      </w:r>
      <w:r w:rsidRPr="00F47E2D">
        <w:rPr>
          <w:rFonts w:ascii="Arial" w:eastAsia="CIDFont+F1" w:hAnsi="Arial" w:cs="Arial"/>
          <w:sz w:val="20"/>
          <w:szCs w:val="20"/>
        </w:rPr>
        <w:t xml:space="preserve">during storage at 4 °C </w:t>
      </w:r>
      <w:r w:rsidRPr="00F47E2D">
        <w:rPr>
          <w:rFonts w:ascii="Arial" w:eastAsia="CIDFont+F1" w:hAnsi="Arial" w:cs="Arial" w:hint="eastAsia"/>
          <w:sz w:val="20"/>
          <w:szCs w:val="20"/>
        </w:rPr>
        <w:t xml:space="preserve">(A) </w:t>
      </w:r>
      <w:r w:rsidRPr="00F47E2D">
        <w:rPr>
          <w:rFonts w:ascii="Arial" w:eastAsia="CIDFont+F1" w:hAnsi="Arial" w:cs="Arial"/>
          <w:sz w:val="20"/>
          <w:szCs w:val="20"/>
        </w:rPr>
        <w:t xml:space="preserve">or in DMEM supplemented with 10% FBS </w:t>
      </w:r>
      <w:r w:rsidRPr="00F47E2D">
        <w:rPr>
          <w:rFonts w:ascii="Arial" w:eastAsia="CIDFont+F1" w:hAnsi="Arial" w:cs="Arial" w:hint="eastAsia"/>
          <w:sz w:val="20"/>
          <w:szCs w:val="20"/>
        </w:rPr>
        <w:t xml:space="preserve">(B) </w:t>
      </w:r>
      <w:r w:rsidRPr="00F47E2D">
        <w:rPr>
          <w:rFonts w:ascii="Arial" w:eastAsia="CIDFont+F1" w:hAnsi="Arial" w:cs="Arial"/>
          <w:sz w:val="20"/>
          <w:szCs w:val="20"/>
        </w:rPr>
        <w:t xml:space="preserve">at 37 °C. measured using DLS. </w:t>
      </w:r>
    </w:p>
    <w:p w14:paraId="107E8CE2" w14:textId="62919DD2" w:rsidR="00CE13FD" w:rsidRPr="00F47E2D" w:rsidRDefault="0071111F" w:rsidP="00CE13FD">
      <w:pPr>
        <w:snapToGrid w:val="0"/>
        <w:spacing w:line="480" w:lineRule="auto"/>
        <w:jc w:val="center"/>
        <w:rPr>
          <w:rFonts w:ascii="Arial" w:hAnsi="Arial" w:cs="Arial"/>
          <w:sz w:val="20"/>
          <w:szCs w:val="20"/>
        </w:rPr>
      </w:pPr>
      <w:r w:rsidRPr="00F47E2D">
        <w:rPr>
          <w:rFonts w:ascii="Arial" w:hAnsi="Arial" w:cs="Arial"/>
          <w:noProof/>
          <w:sz w:val="20"/>
          <w:szCs w:val="20"/>
        </w:rPr>
        <w:lastRenderedPageBreak/>
        <w:drawing>
          <wp:inline distT="0" distB="0" distL="0" distR="0" wp14:anchorId="510DBF56" wp14:editId="68928D36">
            <wp:extent cx="4518837" cy="2057214"/>
            <wp:effectExtent l="0" t="0" r="0" b="635"/>
            <wp:docPr id="19778442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2780" cy="2063561"/>
                    </a:xfrm>
                    <a:prstGeom prst="rect">
                      <a:avLst/>
                    </a:prstGeom>
                    <a:noFill/>
                  </pic:spPr>
                </pic:pic>
              </a:graphicData>
            </a:graphic>
          </wp:inline>
        </w:drawing>
      </w:r>
    </w:p>
    <w:p w14:paraId="61EF72D2" w14:textId="0893AE43" w:rsidR="00CE13FD" w:rsidRPr="00F47E2D" w:rsidRDefault="00CE13FD" w:rsidP="00D04B06">
      <w:pPr>
        <w:spacing w:before="240" w:after="240" w:line="480" w:lineRule="auto"/>
        <w:contextualSpacing/>
        <w:rPr>
          <w:rFonts w:ascii="Arial" w:eastAsiaTheme="minorEastAsia" w:hAnsi="Arial" w:cs="Arial"/>
          <w:sz w:val="20"/>
          <w:szCs w:val="20"/>
        </w:rPr>
      </w:pPr>
      <w:r w:rsidRPr="00F47E2D">
        <w:rPr>
          <w:rFonts w:ascii="Arial" w:hAnsi="Arial" w:cs="Arial"/>
          <w:b/>
          <w:bCs/>
          <w:sz w:val="20"/>
          <w:szCs w:val="20"/>
        </w:rPr>
        <w:t>Figure S</w:t>
      </w:r>
      <w:r w:rsidR="00E37459" w:rsidRPr="00F47E2D">
        <w:rPr>
          <w:rFonts w:ascii="Arial" w:hAnsi="Arial" w:cs="Arial" w:hint="eastAsia"/>
          <w:b/>
          <w:bCs/>
          <w:sz w:val="20"/>
          <w:szCs w:val="20"/>
        </w:rPr>
        <w:t>7</w:t>
      </w:r>
      <w:r w:rsidRPr="00F47E2D">
        <w:rPr>
          <w:rFonts w:ascii="Arial" w:hAnsi="Arial" w:cs="Arial"/>
          <w:b/>
          <w:bCs/>
          <w:sz w:val="20"/>
          <w:szCs w:val="20"/>
        </w:rPr>
        <w:t xml:space="preserve">. </w:t>
      </w:r>
      <w:r w:rsidR="00581559" w:rsidRPr="00F47E2D">
        <w:rPr>
          <w:rFonts w:ascii="Arial" w:hAnsi="Arial" w:cs="Arial"/>
          <w:sz w:val="20"/>
          <w:szCs w:val="20"/>
        </w:rPr>
        <w:t xml:space="preserve">Co-localization of OVA-Cy5 (represented as red) with squalene/DiI (represented as green) in Sq@TA/Mn@OVA observed by STED CLSM. </w:t>
      </w:r>
      <w:r w:rsidR="00D04B06" w:rsidRPr="00F47E2D">
        <w:rPr>
          <w:rFonts w:ascii="Arial" w:hAnsi="Arial" w:cs="Arial"/>
          <w:sz w:val="20"/>
          <w:szCs w:val="20"/>
        </w:rPr>
        <w:t>(</w:t>
      </w:r>
      <w:r w:rsidR="00D04B06" w:rsidRPr="00F47E2D">
        <w:rPr>
          <w:rFonts w:ascii="Arial" w:eastAsiaTheme="minorEastAsia" w:hAnsi="Arial" w:cs="Arial" w:hint="eastAsia"/>
          <w:sz w:val="20"/>
          <w:szCs w:val="20"/>
        </w:rPr>
        <w:t>A</w:t>
      </w:r>
      <w:r w:rsidR="00D04B06" w:rsidRPr="00F47E2D">
        <w:rPr>
          <w:rFonts w:ascii="Arial" w:hAnsi="Arial" w:cs="Arial"/>
          <w:sz w:val="20"/>
          <w:szCs w:val="20"/>
        </w:rPr>
        <w:t xml:space="preserve">) The scatter gram for Sq@TA/Mn@OVA labeled with Cy5 and </w:t>
      </w:r>
      <w:r w:rsidR="00D04B06" w:rsidRPr="00F47E2D">
        <w:rPr>
          <w:rFonts w:ascii="Arial" w:eastAsiaTheme="minorEastAsia" w:hAnsi="Arial" w:cs="Arial"/>
          <w:sz w:val="20"/>
          <w:szCs w:val="20"/>
        </w:rPr>
        <w:t>DiI</w:t>
      </w:r>
      <w:r w:rsidR="00D04B06" w:rsidRPr="00F47E2D">
        <w:rPr>
          <w:rFonts w:ascii="Arial" w:hAnsi="Arial" w:cs="Arial"/>
          <w:sz w:val="20"/>
          <w:szCs w:val="20"/>
        </w:rPr>
        <w:t xml:space="preserve"> were obtained using image J software. (</w:t>
      </w:r>
      <w:r w:rsidR="00D04B06" w:rsidRPr="00F47E2D">
        <w:rPr>
          <w:rFonts w:ascii="Arial" w:eastAsiaTheme="minorEastAsia" w:hAnsi="Arial" w:cs="Arial" w:hint="eastAsia"/>
          <w:sz w:val="20"/>
          <w:szCs w:val="20"/>
        </w:rPr>
        <w:t>B</w:t>
      </w:r>
      <w:r w:rsidR="00D04B06" w:rsidRPr="00F47E2D">
        <w:rPr>
          <w:rFonts w:ascii="Arial" w:hAnsi="Arial" w:cs="Arial"/>
          <w:sz w:val="20"/>
          <w:szCs w:val="20"/>
        </w:rPr>
        <w:t>)</w:t>
      </w:r>
      <w:r w:rsidR="00D04B06" w:rsidRPr="00F47E2D">
        <w:rPr>
          <w:rFonts w:ascii="Arial" w:eastAsiaTheme="minorEastAsia" w:hAnsi="Arial" w:cs="Arial" w:hint="eastAsia"/>
          <w:sz w:val="20"/>
          <w:szCs w:val="20"/>
        </w:rPr>
        <w:t xml:space="preserve"> </w:t>
      </w:r>
      <w:r w:rsidRPr="00F47E2D">
        <w:rPr>
          <w:rFonts w:ascii="Arial" w:hAnsi="Arial" w:cs="Arial"/>
          <w:sz w:val="20"/>
          <w:szCs w:val="20"/>
        </w:rPr>
        <w:t xml:space="preserve">Pearson’s correlation coefficient (Pcc), and Manders’ colocalization coefficient (M1 and M2). </w:t>
      </w:r>
    </w:p>
    <w:p w14:paraId="3A14CF63" w14:textId="77777777" w:rsidR="00CE13FD" w:rsidRPr="00F47E2D" w:rsidRDefault="00CE13FD" w:rsidP="00CE13FD">
      <w:pPr>
        <w:spacing w:after="50" w:line="480" w:lineRule="auto"/>
        <w:contextualSpacing/>
        <w:jc w:val="center"/>
        <w:rPr>
          <w:rFonts w:ascii="Arial" w:hAnsi="Arial" w:cs="Arial"/>
          <w:sz w:val="20"/>
          <w:szCs w:val="20"/>
        </w:rPr>
      </w:pPr>
      <w:r w:rsidRPr="00F47E2D">
        <w:rPr>
          <w:noProof/>
        </w:rPr>
        <w:drawing>
          <wp:inline distT="0" distB="0" distL="0" distR="0" wp14:anchorId="387D7459" wp14:editId="3FE55A17">
            <wp:extent cx="2976113" cy="2524285"/>
            <wp:effectExtent l="0" t="0" r="0" b="0"/>
            <wp:docPr id="19389610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4105" cy="2539546"/>
                    </a:xfrm>
                    <a:prstGeom prst="rect">
                      <a:avLst/>
                    </a:prstGeom>
                    <a:noFill/>
                    <a:ln>
                      <a:noFill/>
                    </a:ln>
                  </pic:spPr>
                </pic:pic>
              </a:graphicData>
            </a:graphic>
          </wp:inline>
        </w:drawing>
      </w:r>
    </w:p>
    <w:p w14:paraId="4B64CE6C" w14:textId="5FB5026E" w:rsidR="00CE13FD" w:rsidRPr="00F47E2D" w:rsidRDefault="00CE13FD" w:rsidP="00CE13FD">
      <w:pPr>
        <w:spacing w:after="240" w:line="480" w:lineRule="auto"/>
        <w:rPr>
          <w:rFonts w:ascii="Arial" w:hAnsi="Arial" w:cs="Arial"/>
          <w:bCs/>
          <w:kern w:val="0"/>
          <w:sz w:val="20"/>
          <w:szCs w:val="20"/>
        </w:rPr>
      </w:pPr>
      <w:r w:rsidRPr="00F47E2D">
        <w:rPr>
          <w:rFonts w:ascii="Arial" w:hAnsi="Arial" w:cs="Arial"/>
          <w:b/>
          <w:kern w:val="0"/>
          <w:sz w:val="20"/>
          <w:szCs w:val="20"/>
        </w:rPr>
        <w:t>Figure S</w:t>
      </w:r>
      <w:r w:rsidR="00E37459" w:rsidRPr="00F47E2D">
        <w:rPr>
          <w:rFonts w:ascii="Arial" w:hAnsi="Arial" w:cs="Arial" w:hint="eastAsia"/>
          <w:b/>
          <w:kern w:val="0"/>
          <w:sz w:val="20"/>
          <w:szCs w:val="20"/>
        </w:rPr>
        <w:t>8</w:t>
      </w:r>
      <w:r w:rsidRPr="00F47E2D">
        <w:rPr>
          <w:rFonts w:ascii="Arial" w:hAnsi="Arial" w:cs="Arial"/>
          <w:b/>
          <w:kern w:val="0"/>
          <w:sz w:val="20"/>
          <w:szCs w:val="20"/>
        </w:rPr>
        <w:t>.</w:t>
      </w:r>
      <w:r w:rsidRPr="00F47E2D">
        <w:rPr>
          <w:rFonts w:ascii="Arial" w:hAnsi="Arial" w:cs="Arial"/>
          <w:bCs/>
          <w:kern w:val="0"/>
          <w:sz w:val="20"/>
          <w:szCs w:val="20"/>
        </w:rPr>
        <w:t xml:space="preserve"> Quantitative analysis of OVA accumulation in DC2.4 cells after treatment with fluidic OVA, TA/Mn@OVA and Sq@TA/Mn@OVA at an equivalent OVA dose of 20 μg/mL for 2, 4 and 8 h by flow cytometry analysis. Data were presented as mean ± SD (n = 3).</w:t>
      </w:r>
    </w:p>
    <w:p w14:paraId="03417506" w14:textId="6E5D95CD" w:rsidR="00CE13FD" w:rsidRPr="00F47E2D" w:rsidRDefault="00CE13FD" w:rsidP="00CE13FD">
      <w:pPr>
        <w:spacing w:line="480" w:lineRule="auto"/>
        <w:jc w:val="center"/>
        <w:rPr>
          <w:rFonts w:ascii="Arial" w:hAnsi="Arial" w:cs="Arial"/>
          <w:bCs/>
          <w:kern w:val="0"/>
          <w:sz w:val="20"/>
          <w:szCs w:val="20"/>
        </w:rPr>
      </w:pPr>
      <w:r w:rsidRPr="00F47E2D">
        <w:rPr>
          <w:noProof/>
        </w:rPr>
        <w:lastRenderedPageBreak/>
        <w:drawing>
          <wp:inline distT="0" distB="0" distL="0" distR="0" wp14:anchorId="43B451BF" wp14:editId="5C9EF587">
            <wp:extent cx="3295291" cy="1753924"/>
            <wp:effectExtent l="0" t="0" r="635" b="0"/>
            <wp:docPr id="43997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7050" cy="1765505"/>
                    </a:xfrm>
                    <a:prstGeom prst="rect">
                      <a:avLst/>
                    </a:prstGeom>
                    <a:noFill/>
                    <a:ln>
                      <a:noFill/>
                    </a:ln>
                  </pic:spPr>
                </pic:pic>
              </a:graphicData>
            </a:graphic>
          </wp:inline>
        </w:drawing>
      </w:r>
    </w:p>
    <w:p w14:paraId="754FEDAE" w14:textId="6F31B44A" w:rsidR="00CE13FD" w:rsidRPr="00F47E2D" w:rsidRDefault="00CE13FD" w:rsidP="00CE13FD">
      <w:pPr>
        <w:spacing w:after="240" w:line="480" w:lineRule="auto"/>
        <w:rPr>
          <w:rFonts w:ascii="Arial" w:hAnsi="Arial" w:cs="Arial"/>
          <w:color w:val="000000" w:themeColor="text1"/>
          <w:kern w:val="0"/>
          <w:sz w:val="20"/>
          <w:szCs w:val="20"/>
        </w:rPr>
      </w:pPr>
      <w:r w:rsidRPr="00F47E2D">
        <w:rPr>
          <w:rFonts w:ascii="Arial" w:hAnsi="Arial" w:cs="Arial"/>
          <w:b/>
          <w:bCs/>
          <w:color w:val="000000" w:themeColor="text1"/>
          <w:kern w:val="0"/>
          <w:sz w:val="20"/>
          <w:szCs w:val="20"/>
        </w:rPr>
        <w:t>Figure S</w:t>
      </w:r>
      <w:r w:rsidR="00E37459" w:rsidRPr="00F47E2D">
        <w:rPr>
          <w:rFonts w:ascii="Arial" w:hAnsi="Arial" w:cs="Arial" w:hint="eastAsia"/>
          <w:b/>
          <w:bCs/>
          <w:color w:val="000000" w:themeColor="text1"/>
          <w:kern w:val="0"/>
          <w:sz w:val="20"/>
          <w:szCs w:val="20"/>
        </w:rPr>
        <w:t>9</w:t>
      </w:r>
      <w:r w:rsidRPr="00F47E2D">
        <w:rPr>
          <w:rFonts w:ascii="Arial" w:hAnsi="Arial" w:cs="Arial"/>
          <w:color w:val="000000" w:themeColor="text1"/>
          <w:kern w:val="0"/>
          <w:sz w:val="20"/>
          <w:szCs w:val="20"/>
        </w:rPr>
        <w:t>. Body weight shifts of mice immunized with different preparations.</w:t>
      </w:r>
    </w:p>
    <w:p w14:paraId="165E345C" w14:textId="77777777" w:rsidR="00CE13FD" w:rsidRPr="00F47E2D" w:rsidRDefault="00CE13FD" w:rsidP="00CE13FD">
      <w:pPr>
        <w:spacing w:after="240" w:line="480" w:lineRule="auto"/>
        <w:rPr>
          <w:rFonts w:ascii="Arial" w:hAnsi="Arial" w:cs="Arial"/>
          <w:color w:val="000000" w:themeColor="text1"/>
          <w:sz w:val="20"/>
          <w:szCs w:val="20"/>
        </w:rPr>
      </w:pPr>
      <w:r w:rsidRPr="00F47E2D">
        <w:rPr>
          <w:noProof/>
        </w:rPr>
        <w:drawing>
          <wp:inline distT="0" distB="0" distL="0" distR="0" wp14:anchorId="5CBE0370" wp14:editId="0096CCCA">
            <wp:extent cx="5220000" cy="2645695"/>
            <wp:effectExtent l="0" t="0" r="0" b="2540"/>
            <wp:docPr id="12252708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000" cy="2645695"/>
                    </a:xfrm>
                    <a:prstGeom prst="rect">
                      <a:avLst/>
                    </a:prstGeom>
                    <a:noFill/>
                    <a:ln>
                      <a:noFill/>
                    </a:ln>
                  </pic:spPr>
                </pic:pic>
              </a:graphicData>
            </a:graphic>
          </wp:inline>
        </w:drawing>
      </w:r>
    </w:p>
    <w:p w14:paraId="370B628C" w14:textId="2F9A280A" w:rsidR="00CE13FD" w:rsidRPr="00F47E2D" w:rsidRDefault="00CE13FD" w:rsidP="00CE13FD">
      <w:pPr>
        <w:snapToGrid w:val="0"/>
        <w:spacing w:line="480" w:lineRule="auto"/>
        <w:rPr>
          <w:rFonts w:ascii="Arial" w:hAnsi="Arial" w:cs="Arial"/>
          <w:sz w:val="20"/>
          <w:szCs w:val="20"/>
        </w:rPr>
      </w:pPr>
      <w:r w:rsidRPr="00F47E2D">
        <w:rPr>
          <w:rFonts w:ascii="Arial" w:hAnsi="Arial" w:cs="Arial"/>
          <w:b/>
          <w:bCs/>
          <w:sz w:val="20"/>
          <w:szCs w:val="20"/>
        </w:rPr>
        <w:t>Figure S</w:t>
      </w:r>
      <w:r w:rsidR="00E37459" w:rsidRPr="00F47E2D">
        <w:rPr>
          <w:rFonts w:ascii="Arial" w:hAnsi="Arial" w:cs="Arial" w:hint="eastAsia"/>
          <w:b/>
          <w:bCs/>
          <w:sz w:val="20"/>
          <w:szCs w:val="20"/>
        </w:rPr>
        <w:t>10</w:t>
      </w:r>
      <w:r w:rsidRPr="00F47E2D">
        <w:rPr>
          <w:rFonts w:ascii="Arial" w:hAnsi="Arial" w:cs="Arial"/>
          <w:b/>
          <w:bCs/>
          <w:sz w:val="20"/>
          <w:szCs w:val="20"/>
        </w:rPr>
        <w:t xml:space="preserve">. </w:t>
      </w:r>
      <w:r w:rsidRPr="00F47E2D">
        <w:rPr>
          <w:rFonts w:ascii="Arial" w:hAnsi="Arial" w:cs="Arial"/>
          <w:sz w:val="20"/>
          <w:szCs w:val="20"/>
        </w:rPr>
        <w:t>Flow cytometry gating strategy of IL-4 CD4</w:t>
      </w:r>
      <w:r w:rsidRPr="00F47E2D">
        <w:rPr>
          <w:rFonts w:ascii="Arial" w:hAnsi="Arial" w:cs="Arial"/>
          <w:sz w:val="20"/>
          <w:szCs w:val="20"/>
          <w:vertAlign w:val="superscript"/>
        </w:rPr>
        <w:t>+</w:t>
      </w:r>
      <w:r w:rsidRPr="00F47E2D">
        <w:rPr>
          <w:rFonts w:ascii="Arial" w:hAnsi="Arial" w:cs="Arial"/>
          <w:sz w:val="20"/>
          <w:szCs w:val="20"/>
        </w:rPr>
        <w:t xml:space="preserve"> T, IFN-γ CD4</w:t>
      </w:r>
      <w:r w:rsidRPr="00F47E2D">
        <w:rPr>
          <w:rFonts w:ascii="Arial" w:hAnsi="Arial" w:cs="Arial"/>
          <w:sz w:val="20"/>
          <w:szCs w:val="20"/>
          <w:vertAlign w:val="superscript"/>
        </w:rPr>
        <w:t>+</w:t>
      </w:r>
      <w:r w:rsidRPr="00F47E2D">
        <w:rPr>
          <w:rFonts w:ascii="Arial" w:hAnsi="Arial" w:cs="Arial"/>
          <w:sz w:val="20"/>
          <w:szCs w:val="20"/>
        </w:rPr>
        <w:t xml:space="preserve"> T, IL-4 CD8</w:t>
      </w:r>
      <w:r w:rsidRPr="00F47E2D">
        <w:rPr>
          <w:rFonts w:ascii="Arial" w:hAnsi="Arial" w:cs="Arial"/>
          <w:sz w:val="20"/>
          <w:szCs w:val="20"/>
          <w:vertAlign w:val="superscript"/>
        </w:rPr>
        <w:t>+</w:t>
      </w:r>
      <w:r w:rsidRPr="00F47E2D">
        <w:rPr>
          <w:rFonts w:ascii="Arial" w:hAnsi="Arial" w:cs="Arial"/>
          <w:sz w:val="20"/>
          <w:szCs w:val="20"/>
        </w:rPr>
        <w:t xml:space="preserve"> T, and IFN-γ CD8</w:t>
      </w:r>
      <w:r w:rsidRPr="00F47E2D">
        <w:rPr>
          <w:rFonts w:ascii="Arial" w:hAnsi="Arial" w:cs="Arial"/>
          <w:sz w:val="20"/>
          <w:szCs w:val="20"/>
          <w:vertAlign w:val="superscript"/>
        </w:rPr>
        <w:t>+</w:t>
      </w:r>
      <w:r w:rsidRPr="00F47E2D">
        <w:rPr>
          <w:rFonts w:ascii="Arial" w:hAnsi="Arial" w:cs="Arial"/>
          <w:sz w:val="20"/>
          <w:szCs w:val="20"/>
        </w:rPr>
        <w:t xml:space="preserve"> T cells in spleen.</w:t>
      </w:r>
      <w:r w:rsidRPr="00F47E2D">
        <w:rPr>
          <w:rFonts w:ascii="Arial" w:hAnsi="Arial" w:cs="Arial" w:hint="eastAsia"/>
          <w:sz w:val="20"/>
          <w:szCs w:val="20"/>
        </w:rPr>
        <w:t xml:space="preserve"> </w:t>
      </w:r>
      <w:r w:rsidRPr="00F47E2D">
        <w:rPr>
          <w:rFonts w:ascii="Arial" w:hAnsi="Arial" w:cs="Arial"/>
          <w:sz w:val="20"/>
          <w:szCs w:val="20"/>
        </w:rPr>
        <w:t>The FVS-700</w:t>
      </w:r>
      <w:r w:rsidRPr="00F47E2D">
        <w:rPr>
          <w:rFonts w:ascii="Arial" w:hAnsi="Arial" w:cs="Arial" w:hint="eastAsia"/>
          <w:sz w:val="20"/>
          <w:szCs w:val="20"/>
        </w:rPr>
        <w:t xml:space="preserve"> </w:t>
      </w:r>
      <w:r w:rsidRPr="00F47E2D">
        <w:rPr>
          <w:rFonts w:ascii="Arial" w:hAnsi="Arial" w:cs="Arial"/>
          <w:sz w:val="20"/>
          <w:szCs w:val="20"/>
        </w:rPr>
        <w:t xml:space="preserve">negative </w:t>
      </w:r>
      <w:r w:rsidRPr="00F47E2D">
        <w:rPr>
          <w:rFonts w:ascii="Arial" w:hAnsi="Arial" w:cs="Arial" w:hint="eastAsia"/>
          <w:sz w:val="20"/>
          <w:szCs w:val="20"/>
        </w:rPr>
        <w:t>cell</w:t>
      </w:r>
      <w:r w:rsidRPr="00F47E2D">
        <w:rPr>
          <w:rFonts w:ascii="Arial" w:hAnsi="Arial" w:cs="Arial"/>
          <w:sz w:val="20"/>
          <w:szCs w:val="20"/>
        </w:rPr>
        <w:t xml:space="preserve"> population was defined as live cells</w:t>
      </w:r>
      <w:r w:rsidRPr="00F47E2D">
        <w:rPr>
          <w:rFonts w:ascii="Arial" w:hAnsi="Arial" w:cs="Arial" w:hint="eastAsia"/>
          <w:sz w:val="20"/>
          <w:szCs w:val="20"/>
        </w:rPr>
        <w:t xml:space="preserve"> (red </w:t>
      </w:r>
      <w:r w:rsidRPr="00F47E2D">
        <w:rPr>
          <w:rFonts w:ascii="Arial" w:hAnsi="Arial" w:cs="Arial"/>
          <w:sz w:val="20"/>
          <w:szCs w:val="20"/>
        </w:rPr>
        <w:t>text</w:t>
      </w:r>
      <w:r w:rsidRPr="00F47E2D">
        <w:rPr>
          <w:rFonts w:ascii="Arial" w:hAnsi="Arial" w:cs="Arial" w:hint="eastAsia"/>
          <w:sz w:val="20"/>
          <w:szCs w:val="20"/>
        </w:rPr>
        <w:t>)</w:t>
      </w:r>
      <w:r w:rsidRPr="00F47E2D">
        <w:rPr>
          <w:rFonts w:ascii="Arial" w:hAnsi="Arial" w:cs="Arial"/>
          <w:sz w:val="20"/>
          <w:szCs w:val="20"/>
        </w:rPr>
        <w:t>.</w:t>
      </w:r>
    </w:p>
    <w:p w14:paraId="4AD06662" w14:textId="77777777" w:rsidR="00CE13FD" w:rsidRPr="00F47E2D" w:rsidRDefault="00CE13FD" w:rsidP="00CE13FD">
      <w:pPr>
        <w:snapToGrid w:val="0"/>
        <w:spacing w:line="480" w:lineRule="auto"/>
        <w:rPr>
          <w:rFonts w:ascii="Arial" w:hAnsi="Arial" w:cs="Arial"/>
          <w:b/>
          <w:bCs/>
          <w:sz w:val="20"/>
          <w:szCs w:val="20"/>
        </w:rPr>
      </w:pPr>
      <w:r w:rsidRPr="00F47E2D">
        <w:rPr>
          <w:noProof/>
        </w:rPr>
        <w:lastRenderedPageBreak/>
        <w:drawing>
          <wp:inline distT="0" distB="0" distL="0" distR="0" wp14:anchorId="343B007B" wp14:editId="568E30C5">
            <wp:extent cx="5220000" cy="4962924"/>
            <wp:effectExtent l="0" t="0" r="0" b="9525"/>
            <wp:docPr id="5658329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000" cy="4962924"/>
                    </a:xfrm>
                    <a:prstGeom prst="rect">
                      <a:avLst/>
                    </a:prstGeom>
                    <a:noFill/>
                    <a:ln>
                      <a:noFill/>
                    </a:ln>
                  </pic:spPr>
                </pic:pic>
              </a:graphicData>
            </a:graphic>
          </wp:inline>
        </w:drawing>
      </w:r>
    </w:p>
    <w:p w14:paraId="37F4890E" w14:textId="42B25B11" w:rsidR="00CE13FD" w:rsidRPr="00F47E2D" w:rsidRDefault="00CE13FD" w:rsidP="00CE13FD">
      <w:pPr>
        <w:snapToGrid w:val="0"/>
        <w:spacing w:line="480" w:lineRule="auto"/>
        <w:rPr>
          <w:rFonts w:ascii="Arial" w:hAnsi="Arial" w:cs="Arial"/>
          <w:sz w:val="20"/>
          <w:szCs w:val="20"/>
        </w:rPr>
      </w:pPr>
      <w:r w:rsidRPr="00F47E2D">
        <w:rPr>
          <w:rFonts w:ascii="Arial" w:hAnsi="Arial" w:cs="Arial"/>
          <w:b/>
          <w:bCs/>
          <w:sz w:val="20"/>
          <w:szCs w:val="20"/>
        </w:rPr>
        <w:t>Figure S</w:t>
      </w:r>
      <w:r w:rsidR="003C0C4B" w:rsidRPr="00F47E2D">
        <w:rPr>
          <w:rFonts w:ascii="Arial" w:hAnsi="Arial" w:cs="Arial" w:hint="eastAsia"/>
          <w:b/>
          <w:bCs/>
          <w:sz w:val="20"/>
          <w:szCs w:val="20"/>
        </w:rPr>
        <w:t>1</w:t>
      </w:r>
      <w:r w:rsidR="00E37459" w:rsidRPr="00F47E2D">
        <w:rPr>
          <w:rFonts w:ascii="Arial" w:hAnsi="Arial" w:cs="Arial" w:hint="eastAsia"/>
          <w:b/>
          <w:bCs/>
          <w:sz w:val="20"/>
          <w:szCs w:val="20"/>
        </w:rPr>
        <w:t>1</w:t>
      </w:r>
      <w:r w:rsidRPr="00F47E2D">
        <w:rPr>
          <w:rFonts w:ascii="Arial" w:hAnsi="Arial" w:cs="Arial"/>
          <w:b/>
          <w:bCs/>
          <w:sz w:val="20"/>
          <w:szCs w:val="20"/>
        </w:rPr>
        <w:t>.</w:t>
      </w:r>
      <w:r w:rsidRPr="00F47E2D">
        <w:rPr>
          <w:rFonts w:ascii="Arial" w:hAnsi="Arial" w:cs="Arial"/>
          <w:sz w:val="20"/>
          <w:szCs w:val="20"/>
        </w:rPr>
        <w:t xml:space="preserve"> Flow cytometry raw data of IFN-γ</w:t>
      </w:r>
      <w:r w:rsidRPr="00F47E2D">
        <w:rPr>
          <w:rFonts w:ascii="Arial" w:hAnsi="Arial" w:cs="Arial"/>
          <w:sz w:val="20"/>
          <w:szCs w:val="20"/>
          <w:vertAlign w:val="superscript"/>
        </w:rPr>
        <w:t>+</w:t>
      </w:r>
      <w:r w:rsidRPr="00F47E2D">
        <w:rPr>
          <w:rFonts w:ascii="Arial" w:hAnsi="Arial" w:cs="Arial"/>
          <w:sz w:val="20"/>
          <w:szCs w:val="20"/>
        </w:rPr>
        <w:t xml:space="preserve"> and IL-4</w:t>
      </w:r>
      <w:r w:rsidRPr="00F47E2D">
        <w:rPr>
          <w:rFonts w:ascii="Arial" w:hAnsi="Arial" w:cs="Arial"/>
          <w:sz w:val="20"/>
          <w:szCs w:val="20"/>
          <w:vertAlign w:val="superscript"/>
        </w:rPr>
        <w:t>+</w:t>
      </w:r>
      <w:r w:rsidRPr="00F47E2D">
        <w:rPr>
          <w:rFonts w:ascii="Arial" w:hAnsi="Arial" w:cs="Arial"/>
          <w:sz w:val="20"/>
          <w:szCs w:val="20"/>
        </w:rPr>
        <w:t xml:space="preserve"> CD8</w:t>
      </w:r>
      <w:r w:rsidRPr="00F47E2D">
        <w:rPr>
          <w:rFonts w:ascii="Arial" w:hAnsi="Arial" w:cs="Arial"/>
          <w:sz w:val="20"/>
          <w:szCs w:val="20"/>
          <w:vertAlign w:val="superscript"/>
        </w:rPr>
        <w:t>+</w:t>
      </w:r>
      <w:r w:rsidRPr="00F47E2D">
        <w:rPr>
          <w:rFonts w:ascii="Arial" w:hAnsi="Arial" w:cs="Arial"/>
          <w:sz w:val="20"/>
          <w:szCs w:val="20"/>
        </w:rPr>
        <w:t xml:space="preserve"> T (A), IFN-γ</w:t>
      </w:r>
      <w:r w:rsidRPr="00F47E2D">
        <w:rPr>
          <w:rFonts w:ascii="Arial" w:hAnsi="Arial" w:cs="Arial"/>
          <w:sz w:val="20"/>
          <w:szCs w:val="20"/>
          <w:vertAlign w:val="superscript"/>
        </w:rPr>
        <w:t>+</w:t>
      </w:r>
      <w:r w:rsidRPr="00F47E2D">
        <w:rPr>
          <w:rFonts w:ascii="Arial" w:hAnsi="Arial" w:cs="Arial"/>
          <w:sz w:val="20"/>
          <w:szCs w:val="20"/>
        </w:rPr>
        <w:t xml:space="preserve"> and IL-4</w:t>
      </w:r>
      <w:r w:rsidRPr="00F47E2D">
        <w:rPr>
          <w:rFonts w:ascii="Arial" w:hAnsi="Arial" w:cs="Arial"/>
          <w:sz w:val="20"/>
          <w:szCs w:val="20"/>
          <w:vertAlign w:val="superscript"/>
        </w:rPr>
        <w:t>+</w:t>
      </w:r>
      <w:r w:rsidRPr="00F47E2D">
        <w:rPr>
          <w:rFonts w:ascii="Arial" w:hAnsi="Arial" w:cs="Arial"/>
          <w:sz w:val="20"/>
          <w:szCs w:val="20"/>
        </w:rPr>
        <w:t xml:space="preserve"> CD4</w:t>
      </w:r>
      <w:r w:rsidRPr="00F47E2D">
        <w:rPr>
          <w:rFonts w:ascii="Arial" w:hAnsi="Arial" w:cs="Arial"/>
          <w:sz w:val="20"/>
          <w:szCs w:val="20"/>
          <w:vertAlign w:val="superscript"/>
        </w:rPr>
        <w:t>+</w:t>
      </w:r>
      <w:r w:rsidRPr="00F47E2D">
        <w:rPr>
          <w:rFonts w:ascii="Arial" w:hAnsi="Arial" w:cs="Arial"/>
          <w:sz w:val="20"/>
          <w:szCs w:val="20"/>
        </w:rPr>
        <w:t xml:space="preserve"> T (B) cells in spleen.</w:t>
      </w:r>
    </w:p>
    <w:p w14:paraId="3B3AB48E" w14:textId="77777777" w:rsidR="00CE13FD" w:rsidRPr="00F47E2D" w:rsidRDefault="00CE13FD" w:rsidP="00CE13FD">
      <w:pPr>
        <w:snapToGrid w:val="0"/>
        <w:spacing w:line="480" w:lineRule="auto"/>
        <w:jc w:val="center"/>
        <w:rPr>
          <w:rFonts w:ascii="Arial" w:hAnsi="Arial" w:cs="Arial"/>
          <w:sz w:val="20"/>
          <w:szCs w:val="20"/>
        </w:rPr>
      </w:pPr>
      <w:r w:rsidRPr="00F47E2D">
        <w:rPr>
          <w:noProof/>
        </w:rPr>
        <w:drawing>
          <wp:inline distT="0" distB="0" distL="0" distR="0" wp14:anchorId="27F1E2DA" wp14:editId="059888EF">
            <wp:extent cx="3678645" cy="2071397"/>
            <wp:effectExtent l="0" t="0" r="0" b="0"/>
            <wp:docPr id="14378588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1008" cy="2078359"/>
                    </a:xfrm>
                    <a:prstGeom prst="rect">
                      <a:avLst/>
                    </a:prstGeom>
                    <a:noFill/>
                    <a:ln>
                      <a:noFill/>
                    </a:ln>
                  </pic:spPr>
                </pic:pic>
              </a:graphicData>
            </a:graphic>
          </wp:inline>
        </w:drawing>
      </w:r>
    </w:p>
    <w:p w14:paraId="562D7697" w14:textId="685B86BE" w:rsidR="00CE13FD" w:rsidRPr="00F47E2D" w:rsidRDefault="00CE13FD" w:rsidP="00CE13FD">
      <w:pPr>
        <w:spacing w:after="240" w:line="480" w:lineRule="auto"/>
        <w:contextualSpacing/>
        <w:rPr>
          <w:rFonts w:ascii="Arial" w:hAnsi="Arial" w:cs="Arial"/>
          <w:bCs/>
          <w:sz w:val="20"/>
          <w:szCs w:val="20"/>
        </w:rPr>
      </w:pPr>
      <w:r w:rsidRPr="00F47E2D">
        <w:rPr>
          <w:rFonts w:ascii="Arial" w:hAnsi="Arial" w:cs="Arial"/>
          <w:b/>
          <w:kern w:val="0"/>
          <w:sz w:val="20"/>
          <w:szCs w:val="20"/>
        </w:rPr>
        <w:t>Figure S1</w:t>
      </w:r>
      <w:r w:rsidR="00E37459" w:rsidRPr="00F47E2D">
        <w:rPr>
          <w:rFonts w:ascii="Arial" w:hAnsi="Arial" w:cs="Arial" w:hint="eastAsia"/>
          <w:b/>
          <w:kern w:val="0"/>
          <w:sz w:val="20"/>
          <w:szCs w:val="20"/>
        </w:rPr>
        <w:t>2</w:t>
      </w:r>
      <w:r w:rsidRPr="00F47E2D">
        <w:rPr>
          <w:rFonts w:ascii="Arial" w:hAnsi="Arial" w:cs="Arial"/>
          <w:b/>
          <w:kern w:val="0"/>
          <w:sz w:val="20"/>
          <w:szCs w:val="20"/>
        </w:rPr>
        <w:t>.</w:t>
      </w:r>
      <w:r w:rsidRPr="00F47E2D">
        <w:rPr>
          <w:rFonts w:ascii="Arial" w:hAnsi="Arial" w:cs="Arial"/>
          <w:bCs/>
          <w:sz w:val="20"/>
          <w:szCs w:val="20"/>
        </w:rPr>
        <w:t xml:space="preserve"> A total of 10</w:t>
      </w:r>
      <w:r w:rsidRPr="00F47E2D">
        <w:rPr>
          <w:rFonts w:ascii="Arial" w:hAnsi="Arial" w:cs="Arial"/>
          <w:bCs/>
          <w:sz w:val="20"/>
          <w:szCs w:val="20"/>
          <w:vertAlign w:val="superscript"/>
        </w:rPr>
        <w:t>6</w:t>
      </w:r>
      <w:r w:rsidRPr="00F47E2D">
        <w:rPr>
          <w:rFonts w:ascii="Arial" w:hAnsi="Arial" w:cs="Arial"/>
          <w:bCs/>
          <w:sz w:val="20"/>
          <w:szCs w:val="20"/>
        </w:rPr>
        <w:t xml:space="preserve"> splenocytes/well were cultured in 96 well plate on day 30 in the </w:t>
      </w:r>
      <w:r w:rsidRPr="00F47E2D">
        <w:rPr>
          <w:rFonts w:ascii="Arial" w:hAnsi="Arial" w:cs="Arial"/>
          <w:bCs/>
          <w:sz w:val="20"/>
          <w:szCs w:val="20"/>
        </w:rPr>
        <w:lastRenderedPageBreak/>
        <w:t>presence or absence of 1 mg/mL OVA for 72 h. Culture supernatants were collected. The IL-4 (A) and IFN-γ (B) contents were tested by Elisa. Data are expressed as mean ± SD (n = 4). Statistical analysis was performed by the two-tailed, unpaired Student’s t-test, *p &lt;0.05, **p &lt; 0.01, ***p &lt; 0.001.</w:t>
      </w:r>
    </w:p>
    <w:p w14:paraId="292B51E1" w14:textId="77777777" w:rsidR="00CE13FD" w:rsidRPr="00F47E2D" w:rsidRDefault="00CE13FD" w:rsidP="00CE13FD">
      <w:pPr>
        <w:spacing w:after="240" w:line="480" w:lineRule="auto"/>
        <w:contextualSpacing/>
        <w:rPr>
          <w:rFonts w:ascii="Arial" w:hAnsi="Arial" w:cs="Arial"/>
          <w:bCs/>
          <w:sz w:val="20"/>
          <w:szCs w:val="20"/>
        </w:rPr>
      </w:pPr>
      <w:r w:rsidRPr="00F47E2D">
        <w:rPr>
          <w:noProof/>
        </w:rPr>
        <w:drawing>
          <wp:inline distT="0" distB="0" distL="0" distR="0" wp14:anchorId="47C9F418" wp14:editId="29A60A32">
            <wp:extent cx="5220000" cy="2905316"/>
            <wp:effectExtent l="0" t="0" r="0" b="9525"/>
            <wp:docPr id="12107949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0000" cy="2905316"/>
                    </a:xfrm>
                    <a:prstGeom prst="rect">
                      <a:avLst/>
                    </a:prstGeom>
                    <a:noFill/>
                    <a:ln>
                      <a:noFill/>
                    </a:ln>
                  </pic:spPr>
                </pic:pic>
              </a:graphicData>
            </a:graphic>
          </wp:inline>
        </w:drawing>
      </w:r>
    </w:p>
    <w:p w14:paraId="7DF0E21A" w14:textId="04BC33C9" w:rsidR="00CE13FD" w:rsidRPr="00F47E2D" w:rsidRDefault="00CE13FD" w:rsidP="00CE13FD">
      <w:pPr>
        <w:snapToGrid w:val="0"/>
        <w:spacing w:before="240" w:after="240" w:line="480" w:lineRule="auto"/>
        <w:rPr>
          <w:rFonts w:ascii="Arial" w:hAnsi="Arial" w:cs="Arial"/>
          <w:sz w:val="20"/>
          <w:szCs w:val="20"/>
        </w:rPr>
      </w:pPr>
      <w:r w:rsidRPr="00F47E2D">
        <w:rPr>
          <w:rFonts w:ascii="Arial" w:hAnsi="Arial" w:cs="Arial"/>
          <w:b/>
          <w:bCs/>
          <w:sz w:val="20"/>
          <w:szCs w:val="20"/>
        </w:rPr>
        <w:t>Figure S1</w:t>
      </w:r>
      <w:r w:rsidR="00E37459" w:rsidRPr="00F47E2D">
        <w:rPr>
          <w:rFonts w:ascii="Arial" w:hAnsi="Arial" w:cs="Arial" w:hint="eastAsia"/>
          <w:b/>
          <w:bCs/>
          <w:sz w:val="20"/>
          <w:szCs w:val="20"/>
        </w:rPr>
        <w:t>3</w:t>
      </w:r>
      <w:r w:rsidRPr="00F47E2D">
        <w:rPr>
          <w:rFonts w:ascii="Arial" w:hAnsi="Arial" w:cs="Arial"/>
          <w:b/>
          <w:bCs/>
          <w:sz w:val="20"/>
          <w:szCs w:val="20"/>
        </w:rPr>
        <w:t>.</w:t>
      </w:r>
      <w:r w:rsidRPr="00F47E2D">
        <w:rPr>
          <w:rFonts w:ascii="Arial" w:hAnsi="Arial" w:cs="Arial"/>
          <w:sz w:val="20"/>
          <w:szCs w:val="20"/>
        </w:rPr>
        <w:t xml:space="preserve"> Flow cytometry gating strategy of central memory (CD44</w:t>
      </w:r>
      <w:r w:rsidRPr="00F47E2D">
        <w:rPr>
          <w:rFonts w:ascii="Arial" w:hAnsi="Arial" w:cs="Arial"/>
          <w:sz w:val="20"/>
          <w:szCs w:val="20"/>
          <w:vertAlign w:val="superscript"/>
        </w:rPr>
        <w:t>+</w:t>
      </w:r>
      <w:r w:rsidRPr="00F47E2D">
        <w:rPr>
          <w:rFonts w:ascii="Arial" w:hAnsi="Arial" w:cs="Arial"/>
          <w:sz w:val="20"/>
          <w:szCs w:val="20"/>
        </w:rPr>
        <w:t>CD62L</w:t>
      </w:r>
      <w:r w:rsidRPr="00F47E2D">
        <w:rPr>
          <w:rFonts w:ascii="Arial" w:hAnsi="Arial" w:cs="Arial"/>
          <w:sz w:val="20"/>
          <w:szCs w:val="20"/>
          <w:vertAlign w:val="superscript"/>
        </w:rPr>
        <w:t>+</w:t>
      </w:r>
      <w:r w:rsidRPr="00F47E2D">
        <w:rPr>
          <w:rFonts w:ascii="Arial" w:hAnsi="Arial" w:cs="Arial"/>
          <w:sz w:val="20"/>
          <w:szCs w:val="20"/>
        </w:rPr>
        <w:t>) and effector-memory T cells (CD44</w:t>
      </w:r>
      <w:r w:rsidRPr="00F47E2D">
        <w:rPr>
          <w:rFonts w:ascii="Arial" w:hAnsi="Arial" w:cs="Arial"/>
          <w:sz w:val="20"/>
          <w:szCs w:val="20"/>
          <w:vertAlign w:val="superscript"/>
        </w:rPr>
        <w:t>+</w:t>
      </w:r>
      <w:r w:rsidRPr="00F47E2D">
        <w:rPr>
          <w:rFonts w:ascii="Arial" w:hAnsi="Arial" w:cs="Arial"/>
          <w:sz w:val="20"/>
          <w:szCs w:val="20"/>
        </w:rPr>
        <w:t>CD62L</w:t>
      </w:r>
      <w:r w:rsidRPr="00F47E2D">
        <w:rPr>
          <w:rFonts w:ascii="Arial" w:hAnsi="Arial" w:cs="Arial"/>
          <w:sz w:val="20"/>
          <w:szCs w:val="20"/>
          <w:vertAlign w:val="superscript"/>
        </w:rPr>
        <w:t>−</w:t>
      </w:r>
      <w:r w:rsidRPr="00F47E2D">
        <w:rPr>
          <w:rFonts w:ascii="Arial" w:hAnsi="Arial" w:cs="Arial"/>
          <w:sz w:val="20"/>
          <w:szCs w:val="20"/>
        </w:rPr>
        <w:t>) in spleen.</w:t>
      </w:r>
    </w:p>
    <w:p w14:paraId="1D1EF695" w14:textId="77777777" w:rsidR="00CE13FD" w:rsidRPr="00F47E2D" w:rsidRDefault="00CE13FD" w:rsidP="00CE13FD">
      <w:pPr>
        <w:snapToGrid w:val="0"/>
        <w:spacing w:before="240" w:after="240" w:line="480" w:lineRule="auto"/>
        <w:rPr>
          <w:rFonts w:ascii="Arial" w:hAnsi="Arial" w:cs="Arial"/>
          <w:sz w:val="20"/>
          <w:szCs w:val="20"/>
        </w:rPr>
      </w:pPr>
      <w:r w:rsidRPr="00F47E2D">
        <w:rPr>
          <w:noProof/>
        </w:rPr>
        <w:lastRenderedPageBreak/>
        <w:drawing>
          <wp:inline distT="0" distB="0" distL="0" distR="0" wp14:anchorId="61E1F2F5" wp14:editId="34329631">
            <wp:extent cx="5220000" cy="4065672"/>
            <wp:effectExtent l="0" t="0" r="0" b="0"/>
            <wp:docPr id="18336614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000" cy="4065672"/>
                    </a:xfrm>
                    <a:prstGeom prst="rect">
                      <a:avLst/>
                    </a:prstGeom>
                    <a:noFill/>
                    <a:ln>
                      <a:noFill/>
                    </a:ln>
                  </pic:spPr>
                </pic:pic>
              </a:graphicData>
            </a:graphic>
          </wp:inline>
        </w:drawing>
      </w:r>
    </w:p>
    <w:p w14:paraId="545AFCDA" w14:textId="0C873C76" w:rsidR="00CE13FD" w:rsidRPr="00F47E2D" w:rsidRDefault="00CE13FD" w:rsidP="00CE13FD">
      <w:pPr>
        <w:snapToGrid w:val="0"/>
        <w:spacing w:line="480" w:lineRule="auto"/>
        <w:rPr>
          <w:rFonts w:ascii="Arial" w:hAnsi="Arial" w:cs="Arial"/>
          <w:sz w:val="20"/>
          <w:szCs w:val="20"/>
        </w:rPr>
      </w:pPr>
      <w:r w:rsidRPr="00F47E2D">
        <w:rPr>
          <w:rFonts w:ascii="Arial" w:hAnsi="Arial" w:cs="Arial"/>
          <w:b/>
          <w:bCs/>
          <w:sz w:val="20"/>
          <w:szCs w:val="20"/>
        </w:rPr>
        <w:t>Figure S1</w:t>
      </w:r>
      <w:r w:rsidR="00E37459" w:rsidRPr="00F47E2D">
        <w:rPr>
          <w:rFonts w:ascii="Arial" w:hAnsi="Arial" w:cs="Arial" w:hint="eastAsia"/>
          <w:b/>
          <w:bCs/>
          <w:sz w:val="20"/>
          <w:szCs w:val="20"/>
        </w:rPr>
        <w:t>4</w:t>
      </w:r>
      <w:r w:rsidRPr="00F47E2D">
        <w:rPr>
          <w:rFonts w:ascii="Arial" w:hAnsi="Arial" w:cs="Arial"/>
          <w:b/>
          <w:bCs/>
          <w:sz w:val="20"/>
          <w:szCs w:val="20"/>
        </w:rPr>
        <w:t>.</w:t>
      </w:r>
      <w:r w:rsidRPr="00F47E2D">
        <w:rPr>
          <w:rFonts w:ascii="Arial" w:hAnsi="Arial" w:cs="Arial"/>
          <w:sz w:val="20"/>
          <w:szCs w:val="20"/>
        </w:rPr>
        <w:t xml:space="preserve"> Gating strategy for tissue-resident memory T cells in the lungs.</w:t>
      </w:r>
      <w:r w:rsidR="002D6BDE" w:rsidRPr="00F47E2D">
        <w:rPr>
          <w:rFonts w:ascii="Arial" w:hAnsi="Arial" w:cs="Arial"/>
          <w:color w:val="0070C0"/>
          <w:sz w:val="20"/>
          <w:szCs w:val="20"/>
        </w:rPr>
        <w:t xml:space="preserve"> </w:t>
      </w:r>
      <w:r w:rsidR="002D6BDE" w:rsidRPr="00F47E2D">
        <w:rPr>
          <w:rFonts w:ascii="Arial" w:hAnsi="Arial" w:cs="Arial"/>
          <w:sz w:val="20"/>
          <w:szCs w:val="20"/>
        </w:rPr>
        <w:t>The FVS-700</w:t>
      </w:r>
      <w:r w:rsidR="002D6BDE" w:rsidRPr="00F47E2D">
        <w:rPr>
          <w:rFonts w:ascii="Arial" w:hAnsi="Arial" w:cs="Arial" w:hint="eastAsia"/>
          <w:sz w:val="20"/>
          <w:szCs w:val="20"/>
        </w:rPr>
        <w:t xml:space="preserve"> </w:t>
      </w:r>
      <w:r w:rsidR="002D6BDE" w:rsidRPr="00F47E2D">
        <w:rPr>
          <w:rFonts w:ascii="Arial" w:hAnsi="Arial" w:cs="Arial"/>
          <w:sz w:val="20"/>
          <w:szCs w:val="20"/>
        </w:rPr>
        <w:t xml:space="preserve">negative </w:t>
      </w:r>
      <w:r w:rsidR="002D6BDE" w:rsidRPr="00F47E2D">
        <w:rPr>
          <w:rFonts w:ascii="Arial" w:hAnsi="Arial" w:cs="Arial" w:hint="eastAsia"/>
          <w:sz w:val="20"/>
          <w:szCs w:val="20"/>
        </w:rPr>
        <w:t>cell</w:t>
      </w:r>
      <w:r w:rsidR="002D6BDE" w:rsidRPr="00F47E2D">
        <w:rPr>
          <w:rFonts w:ascii="Arial" w:hAnsi="Arial" w:cs="Arial"/>
          <w:sz w:val="20"/>
          <w:szCs w:val="20"/>
        </w:rPr>
        <w:t xml:space="preserve"> population was defined as live cells</w:t>
      </w:r>
      <w:r w:rsidR="002D6BDE" w:rsidRPr="00F47E2D">
        <w:rPr>
          <w:rFonts w:ascii="Arial" w:hAnsi="Arial" w:cs="Arial" w:hint="eastAsia"/>
          <w:sz w:val="20"/>
          <w:szCs w:val="20"/>
        </w:rPr>
        <w:t xml:space="preserve"> (red </w:t>
      </w:r>
      <w:r w:rsidR="002D6BDE" w:rsidRPr="00F47E2D">
        <w:rPr>
          <w:rFonts w:ascii="Arial" w:hAnsi="Arial" w:cs="Arial"/>
          <w:sz w:val="20"/>
          <w:szCs w:val="20"/>
        </w:rPr>
        <w:t>text</w:t>
      </w:r>
      <w:r w:rsidR="002D6BDE" w:rsidRPr="00F47E2D">
        <w:rPr>
          <w:rFonts w:ascii="Arial" w:hAnsi="Arial" w:cs="Arial" w:hint="eastAsia"/>
          <w:sz w:val="20"/>
          <w:szCs w:val="20"/>
        </w:rPr>
        <w:t>)</w:t>
      </w:r>
      <w:r w:rsidR="002D6BDE" w:rsidRPr="00F47E2D">
        <w:rPr>
          <w:rFonts w:ascii="Arial" w:hAnsi="Arial" w:cs="Arial"/>
          <w:sz w:val="20"/>
          <w:szCs w:val="20"/>
        </w:rPr>
        <w:t>.</w:t>
      </w:r>
      <w:r w:rsidRPr="00F47E2D">
        <w:rPr>
          <w:rFonts w:ascii="Arial" w:hAnsi="Arial" w:cs="Arial"/>
          <w:sz w:val="20"/>
          <w:szCs w:val="20"/>
        </w:rPr>
        <w:t xml:space="preserve"> </w:t>
      </w:r>
    </w:p>
    <w:p w14:paraId="3C128EB1" w14:textId="108DA235" w:rsidR="00AE1D48" w:rsidRPr="00F47E2D" w:rsidRDefault="00AE1D48" w:rsidP="00A96053">
      <w:pPr>
        <w:spacing w:before="360"/>
        <w:rPr>
          <w:rFonts w:ascii="Arial" w:hAnsi="Arial" w:cs="Arial"/>
          <w:b/>
          <w:bCs/>
          <w:sz w:val="20"/>
          <w:szCs w:val="20"/>
        </w:rPr>
      </w:pPr>
      <w:r w:rsidRPr="00F47E2D">
        <w:rPr>
          <w:rFonts w:ascii="Arial" w:hAnsi="Arial" w:cs="Arial"/>
          <w:b/>
          <w:bCs/>
          <w:sz w:val="20"/>
          <w:szCs w:val="20"/>
        </w:rPr>
        <w:t>Supplementary tables</w:t>
      </w:r>
    </w:p>
    <w:p w14:paraId="49BF4E21" w14:textId="77777777" w:rsidR="00AE1D48" w:rsidRPr="00F47E2D" w:rsidRDefault="00AE1D48" w:rsidP="00A96053">
      <w:pPr>
        <w:adjustRightInd w:val="0"/>
        <w:snapToGrid w:val="0"/>
        <w:rPr>
          <w:rFonts w:ascii="Arial" w:hAnsi="Arial" w:cs="Arial"/>
          <w:b/>
          <w:bCs/>
          <w:sz w:val="20"/>
          <w:szCs w:val="20"/>
        </w:rPr>
      </w:pPr>
      <w:r w:rsidRPr="00F47E2D">
        <w:rPr>
          <w:rFonts w:ascii="Arial" w:hAnsi="Arial" w:cs="Arial"/>
          <w:b/>
          <w:bCs/>
          <w:sz w:val="20"/>
          <w:szCs w:val="20"/>
        </w:rPr>
        <w:t xml:space="preserve">Table S1. </w:t>
      </w:r>
      <w:r w:rsidRPr="00F47E2D">
        <w:rPr>
          <w:rFonts w:ascii="Arial" w:hAnsi="Arial" w:cs="Arial"/>
          <w:sz w:val="20"/>
          <w:szCs w:val="20"/>
        </w:rPr>
        <w:t>Composition of various preparations</w:t>
      </w:r>
    </w:p>
    <w:tbl>
      <w:tblPr>
        <w:tblW w:w="4949" w:type="pct"/>
        <w:tblLayout w:type="fixed"/>
        <w:tblLook w:val="04A0" w:firstRow="1" w:lastRow="0" w:firstColumn="1" w:lastColumn="0" w:noHBand="0" w:noVBand="1"/>
      </w:tblPr>
      <w:tblGrid>
        <w:gridCol w:w="1280"/>
        <w:gridCol w:w="991"/>
        <w:gridCol w:w="1134"/>
        <w:gridCol w:w="1138"/>
        <w:gridCol w:w="1134"/>
        <w:gridCol w:w="987"/>
        <w:gridCol w:w="140"/>
        <w:gridCol w:w="1417"/>
      </w:tblGrid>
      <w:tr w:rsidR="00AE1D48" w:rsidRPr="00F47E2D" w14:paraId="7A0B5B7A" w14:textId="77777777" w:rsidTr="008F54AA">
        <w:trPr>
          <w:trHeight w:val="206"/>
        </w:trPr>
        <w:tc>
          <w:tcPr>
            <w:tcW w:w="778" w:type="pct"/>
            <w:tcBorders>
              <w:top w:val="single" w:sz="4" w:space="0" w:color="auto"/>
              <w:bottom w:val="single" w:sz="4" w:space="0" w:color="auto"/>
            </w:tcBorders>
            <w:vAlign w:val="center"/>
          </w:tcPr>
          <w:p w14:paraId="4B25159D" w14:textId="77777777" w:rsidR="00AE1D48" w:rsidRPr="00F47E2D" w:rsidRDefault="00AE1D48" w:rsidP="00A96053">
            <w:pPr>
              <w:adjustRightInd w:val="0"/>
              <w:snapToGrid w:val="0"/>
              <w:rPr>
                <w:rFonts w:ascii="Arial" w:hAnsi="Arial" w:cs="Arial"/>
                <w:b/>
                <w:bCs/>
                <w:sz w:val="16"/>
                <w:szCs w:val="16"/>
              </w:rPr>
            </w:pPr>
            <w:bookmarkStart w:id="6" w:name="_Hlk194331994"/>
            <w:r w:rsidRPr="00F47E2D">
              <w:rPr>
                <w:rFonts w:ascii="Arial" w:hAnsi="Arial" w:cs="Arial"/>
                <w:b/>
                <w:bCs/>
                <w:sz w:val="16"/>
                <w:szCs w:val="16"/>
              </w:rPr>
              <w:t>Preparations</w:t>
            </w:r>
            <w:bookmarkEnd w:id="6"/>
          </w:p>
        </w:tc>
        <w:tc>
          <w:tcPr>
            <w:tcW w:w="603" w:type="pct"/>
            <w:tcBorders>
              <w:top w:val="single" w:sz="4" w:space="0" w:color="auto"/>
              <w:bottom w:val="single" w:sz="4" w:space="0" w:color="auto"/>
            </w:tcBorders>
          </w:tcPr>
          <w:p w14:paraId="68BB08C4" w14:textId="77777777" w:rsidR="00AE1D48" w:rsidRPr="00F47E2D" w:rsidRDefault="00AE1D48" w:rsidP="00A96053">
            <w:pPr>
              <w:adjustRightInd w:val="0"/>
              <w:snapToGrid w:val="0"/>
              <w:rPr>
                <w:rFonts w:ascii="Arial" w:hAnsi="Arial" w:cs="Arial"/>
                <w:b/>
                <w:bCs/>
                <w:sz w:val="16"/>
                <w:szCs w:val="16"/>
              </w:rPr>
            </w:pPr>
            <w:r w:rsidRPr="00F47E2D">
              <w:rPr>
                <w:rFonts w:ascii="Arial" w:hAnsi="Arial" w:cs="Arial"/>
                <w:b/>
                <w:bCs/>
                <w:sz w:val="16"/>
                <w:szCs w:val="16"/>
              </w:rPr>
              <w:t>H</w:t>
            </w:r>
            <w:r w:rsidRPr="00F47E2D">
              <w:rPr>
                <w:rFonts w:ascii="Arial" w:hAnsi="Arial" w:cs="Arial"/>
                <w:b/>
                <w:bCs/>
                <w:sz w:val="16"/>
                <w:szCs w:val="16"/>
                <w:vertAlign w:val="subscript"/>
              </w:rPr>
              <w:t>2</w:t>
            </w:r>
            <w:r w:rsidRPr="00F47E2D">
              <w:rPr>
                <w:rFonts w:ascii="Arial" w:hAnsi="Arial" w:cs="Arial"/>
                <w:b/>
                <w:bCs/>
                <w:sz w:val="16"/>
                <w:szCs w:val="16"/>
              </w:rPr>
              <w:t>O</w:t>
            </w:r>
          </w:p>
        </w:tc>
        <w:tc>
          <w:tcPr>
            <w:tcW w:w="690" w:type="pct"/>
            <w:tcBorders>
              <w:top w:val="single" w:sz="4" w:space="0" w:color="auto"/>
              <w:bottom w:val="single" w:sz="4" w:space="0" w:color="auto"/>
            </w:tcBorders>
            <w:vAlign w:val="center"/>
          </w:tcPr>
          <w:p w14:paraId="6A4C3426" w14:textId="77777777" w:rsidR="00AE1D48" w:rsidRPr="00F47E2D" w:rsidRDefault="00AE1D48" w:rsidP="00A96053">
            <w:pPr>
              <w:adjustRightInd w:val="0"/>
              <w:snapToGrid w:val="0"/>
              <w:rPr>
                <w:rFonts w:ascii="Arial" w:hAnsi="Arial" w:cs="Arial"/>
                <w:b/>
                <w:bCs/>
                <w:sz w:val="16"/>
                <w:szCs w:val="16"/>
              </w:rPr>
            </w:pPr>
            <w:r w:rsidRPr="00F47E2D">
              <w:rPr>
                <w:rFonts w:ascii="Arial" w:hAnsi="Arial" w:cs="Arial"/>
                <w:b/>
                <w:bCs/>
                <w:sz w:val="16"/>
                <w:szCs w:val="16"/>
              </w:rPr>
              <w:t xml:space="preserve">Tannic acid </w:t>
            </w:r>
          </w:p>
          <w:p w14:paraId="087973B2" w14:textId="77777777" w:rsidR="00AE1D48" w:rsidRPr="00F47E2D" w:rsidRDefault="00AE1D48" w:rsidP="00A96053">
            <w:pPr>
              <w:adjustRightInd w:val="0"/>
              <w:snapToGrid w:val="0"/>
              <w:rPr>
                <w:rFonts w:ascii="Arial" w:hAnsi="Arial" w:cs="Arial"/>
                <w:b/>
                <w:bCs/>
                <w:sz w:val="16"/>
                <w:szCs w:val="16"/>
              </w:rPr>
            </w:pPr>
            <w:r w:rsidRPr="00F47E2D">
              <w:rPr>
                <w:rFonts w:ascii="Arial" w:hAnsi="Arial" w:cs="Arial"/>
                <w:b/>
                <w:bCs/>
                <w:sz w:val="16"/>
                <w:szCs w:val="16"/>
              </w:rPr>
              <w:t>(4 mg/mL)</w:t>
            </w:r>
          </w:p>
        </w:tc>
        <w:tc>
          <w:tcPr>
            <w:tcW w:w="692" w:type="pct"/>
            <w:tcBorders>
              <w:top w:val="single" w:sz="4" w:space="0" w:color="auto"/>
              <w:bottom w:val="single" w:sz="4" w:space="0" w:color="auto"/>
            </w:tcBorders>
            <w:vAlign w:val="center"/>
          </w:tcPr>
          <w:p w14:paraId="365817A1" w14:textId="77777777" w:rsidR="00AE1D48" w:rsidRPr="00F47E2D" w:rsidRDefault="00AE1D48" w:rsidP="00A96053">
            <w:pPr>
              <w:adjustRightInd w:val="0"/>
              <w:snapToGrid w:val="0"/>
              <w:rPr>
                <w:rFonts w:ascii="Arial" w:hAnsi="Arial" w:cs="Arial"/>
                <w:b/>
                <w:bCs/>
                <w:sz w:val="16"/>
                <w:szCs w:val="16"/>
              </w:rPr>
            </w:pPr>
            <w:r w:rsidRPr="00F47E2D">
              <w:rPr>
                <w:rFonts w:ascii="Arial" w:hAnsi="Arial" w:cs="Arial"/>
                <w:b/>
                <w:bCs/>
                <w:sz w:val="16"/>
                <w:szCs w:val="16"/>
              </w:rPr>
              <w:t>MnCl</w:t>
            </w:r>
            <w:r w:rsidRPr="00F47E2D">
              <w:rPr>
                <w:rFonts w:ascii="Arial" w:hAnsi="Arial" w:cs="Arial"/>
                <w:b/>
                <w:bCs/>
                <w:sz w:val="16"/>
                <w:szCs w:val="16"/>
                <w:vertAlign w:val="subscript"/>
              </w:rPr>
              <w:t>2</w:t>
            </w:r>
            <w:r w:rsidRPr="00F47E2D">
              <w:rPr>
                <w:rFonts w:ascii="Arial" w:hAnsi="Arial" w:cs="Arial"/>
                <w:b/>
                <w:bCs/>
                <w:sz w:val="16"/>
                <w:szCs w:val="16"/>
              </w:rPr>
              <w:t xml:space="preserve"> </w:t>
            </w:r>
          </w:p>
          <w:p w14:paraId="6C8F5C85" w14:textId="77777777" w:rsidR="00AE1D48" w:rsidRPr="00F47E2D" w:rsidRDefault="00AE1D48" w:rsidP="00A96053">
            <w:pPr>
              <w:adjustRightInd w:val="0"/>
              <w:snapToGrid w:val="0"/>
              <w:rPr>
                <w:rFonts w:ascii="Arial" w:hAnsi="Arial" w:cs="Arial"/>
                <w:b/>
                <w:bCs/>
                <w:sz w:val="16"/>
                <w:szCs w:val="16"/>
              </w:rPr>
            </w:pPr>
            <w:r w:rsidRPr="00F47E2D">
              <w:rPr>
                <w:rFonts w:ascii="Arial" w:hAnsi="Arial" w:cs="Arial"/>
                <w:b/>
                <w:bCs/>
                <w:sz w:val="16"/>
                <w:szCs w:val="16"/>
              </w:rPr>
              <w:t>(36 mg/mL)</w:t>
            </w:r>
          </w:p>
        </w:tc>
        <w:tc>
          <w:tcPr>
            <w:tcW w:w="690" w:type="pct"/>
            <w:tcBorders>
              <w:top w:val="single" w:sz="4" w:space="0" w:color="auto"/>
              <w:bottom w:val="single" w:sz="4" w:space="0" w:color="auto"/>
            </w:tcBorders>
          </w:tcPr>
          <w:p w14:paraId="52DD3CC5" w14:textId="77777777" w:rsidR="00AE1D48" w:rsidRPr="00F47E2D" w:rsidRDefault="00AE1D48" w:rsidP="00A96053">
            <w:pPr>
              <w:adjustRightInd w:val="0"/>
              <w:snapToGrid w:val="0"/>
              <w:rPr>
                <w:rFonts w:ascii="Arial" w:hAnsi="Arial" w:cs="Arial"/>
                <w:b/>
                <w:bCs/>
                <w:sz w:val="16"/>
                <w:szCs w:val="16"/>
              </w:rPr>
            </w:pPr>
            <w:r w:rsidRPr="00F47E2D">
              <w:rPr>
                <w:rFonts w:ascii="Arial" w:hAnsi="Arial" w:cs="Arial"/>
                <w:b/>
                <w:bCs/>
                <w:sz w:val="16"/>
                <w:szCs w:val="16"/>
              </w:rPr>
              <w:t>10×HEPES</w:t>
            </w:r>
            <w:r w:rsidRPr="00F47E2D">
              <w:rPr>
                <w:rFonts w:ascii="Arial" w:hAnsi="Arial" w:cs="Arial"/>
                <w:b/>
                <w:bCs/>
                <w:sz w:val="16"/>
                <w:szCs w:val="16"/>
              </w:rPr>
              <w:t>（</w:t>
            </w:r>
            <w:r w:rsidRPr="00F47E2D">
              <w:rPr>
                <w:rFonts w:ascii="Arial" w:hAnsi="Arial" w:cs="Arial"/>
                <w:b/>
                <w:bCs/>
                <w:sz w:val="16"/>
                <w:szCs w:val="16"/>
              </w:rPr>
              <w:t>100 mM</w:t>
            </w:r>
            <w:r w:rsidRPr="00F47E2D">
              <w:rPr>
                <w:rFonts w:ascii="Arial" w:hAnsi="Arial" w:cs="Arial"/>
                <w:b/>
                <w:bCs/>
                <w:sz w:val="16"/>
                <w:szCs w:val="16"/>
              </w:rPr>
              <w:t>）</w:t>
            </w:r>
          </w:p>
        </w:tc>
        <w:tc>
          <w:tcPr>
            <w:tcW w:w="600" w:type="pct"/>
            <w:tcBorders>
              <w:top w:val="single" w:sz="4" w:space="0" w:color="auto"/>
              <w:bottom w:val="single" w:sz="4" w:space="0" w:color="auto"/>
            </w:tcBorders>
            <w:vAlign w:val="center"/>
          </w:tcPr>
          <w:p w14:paraId="0C71457C" w14:textId="77777777" w:rsidR="00AE1D48" w:rsidRPr="00F47E2D" w:rsidRDefault="00AE1D48" w:rsidP="00A96053">
            <w:pPr>
              <w:adjustRightInd w:val="0"/>
              <w:snapToGrid w:val="0"/>
              <w:rPr>
                <w:rFonts w:ascii="Arial" w:hAnsi="Arial" w:cs="Arial"/>
                <w:b/>
                <w:bCs/>
                <w:sz w:val="16"/>
                <w:szCs w:val="16"/>
              </w:rPr>
            </w:pPr>
            <w:r w:rsidRPr="00F47E2D">
              <w:rPr>
                <w:rFonts w:ascii="Arial" w:hAnsi="Arial" w:cs="Arial"/>
                <w:b/>
                <w:bCs/>
                <w:sz w:val="16"/>
                <w:szCs w:val="16"/>
              </w:rPr>
              <w:t>Squalene</w:t>
            </w:r>
          </w:p>
        </w:tc>
        <w:tc>
          <w:tcPr>
            <w:tcW w:w="947" w:type="pct"/>
            <w:gridSpan w:val="2"/>
            <w:tcBorders>
              <w:top w:val="single" w:sz="4" w:space="0" w:color="auto"/>
              <w:bottom w:val="single" w:sz="4" w:space="0" w:color="auto"/>
            </w:tcBorders>
            <w:vAlign w:val="center"/>
          </w:tcPr>
          <w:p w14:paraId="27A0989D" w14:textId="77777777" w:rsidR="00AE1D48" w:rsidRPr="00F47E2D" w:rsidRDefault="00AE1D48" w:rsidP="00A96053">
            <w:pPr>
              <w:adjustRightInd w:val="0"/>
              <w:snapToGrid w:val="0"/>
              <w:rPr>
                <w:rFonts w:ascii="Arial" w:hAnsi="Arial" w:cs="Arial"/>
                <w:b/>
                <w:bCs/>
                <w:sz w:val="16"/>
                <w:szCs w:val="16"/>
              </w:rPr>
            </w:pPr>
            <w:r w:rsidRPr="00F47E2D">
              <w:rPr>
                <w:rFonts w:ascii="Arial" w:hAnsi="Arial" w:cs="Arial"/>
                <w:b/>
                <w:bCs/>
                <w:sz w:val="16"/>
                <w:szCs w:val="16"/>
              </w:rPr>
              <w:t>Antigen</w:t>
            </w:r>
          </w:p>
          <w:p w14:paraId="70835972" w14:textId="5301B3AC" w:rsidR="008F54AA" w:rsidRPr="00F47E2D" w:rsidRDefault="008F54AA" w:rsidP="00A96053">
            <w:pPr>
              <w:adjustRightInd w:val="0"/>
              <w:snapToGrid w:val="0"/>
              <w:rPr>
                <w:rFonts w:ascii="Arial" w:hAnsi="Arial" w:cs="Arial"/>
                <w:b/>
                <w:bCs/>
                <w:sz w:val="16"/>
                <w:szCs w:val="16"/>
              </w:rPr>
            </w:pPr>
            <w:r w:rsidRPr="00F47E2D">
              <w:rPr>
                <w:rFonts w:ascii="Arial" w:hAnsi="Arial" w:cs="Arial"/>
                <w:b/>
                <w:bCs/>
                <w:sz w:val="18"/>
                <w:szCs w:val="18"/>
              </w:rPr>
              <w:t>(2 mg/mL)</w:t>
            </w:r>
          </w:p>
        </w:tc>
      </w:tr>
      <w:tr w:rsidR="00AE1D48" w:rsidRPr="00F47E2D" w14:paraId="5E466E83" w14:textId="77777777" w:rsidTr="008F54AA">
        <w:tc>
          <w:tcPr>
            <w:tcW w:w="778" w:type="pct"/>
            <w:tcBorders>
              <w:top w:val="single" w:sz="4" w:space="0" w:color="auto"/>
            </w:tcBorders>
          </w:tcPr>
          <w:p w14:paraId="20C15B45" w14:textId="77777777" w:rsidR="00AE1D48" w:rsidRPr="00F47E2D" w:rsidRDefault="00AE1D48" w:rsidP="00A96053">
            <w:pPr>
              <w:adjustRightInd w:val="0"/>
              <w:snapToGrid w:val="0"/>
              <w:rPr>
                <w:rFonts w:ascii="Arial" w:hAnsi="Arial" w:cs="Arial"/>
                <w:b/>
                <w:bCs/>
                <w:sz w:val="18"/>
                <w:szCs w:val="18"/>
              </w:rPr>
            </w:pPr>
            <w:r w:rsidRPr="00F47E2D">
              <w:rPr>
                <w:rFonts w:ascii="Arial" w:hAnsi="Arial" w:cs="Arial"/>
                <w:sz w:val="18"/>
                <w:szCs w:val="18"/>
              </w:rPr>
              <w:t xml:space="preserve">TA/Mn@OVA </w:t>
            </w:r>
          </w:p>
        </w:tc>
        <w:tc>
          <w:tcPr>
            <w:tcW w:w="603" w:type="pct"/>
            <w:tcBorders>
              <w:top w:val="single" w:sz="4" w:space="0" w:color="auto"/>
            </w:tcBorders>
          </w:tcPr>
          <w:p w14:paraId="34D73AF6" w14:textId="60E7D1C3" w:rsidR="00AE1D48" w:rsidRPr="00F47E2D" w:rsidRDefault="00474549" w:rsidP="00A96053">
            <w:pPr>
              <w:adjustRightInd w:val="0"/>
              <w:snapToGrid w:val="0"/>
              <w:rPr>
                <w:rFonts w:ascii="Arial" w:hAnsi="Arial" w:cs="Arial"/>
                <w:sz w:val="18"/>
                <w:szCs w:val="18"/>
              </w:rPr>
            </w:pPr>
            <w:r>
              <w:rPr>
                <w:rFonts w:ascii="Arial" w:hAnsi="Arial" w:cs="Arial" w:hint="eastAsia"/>
                <w:sz w:val="18"/>
                <w:szCs w:val="18"/>
              </w:rPr>
              <w:t>7</w:t>
            </w:r>
            <w:r w:rsidR="00AE1D48" w:rsidRPr="00F47E2D">
              <w:rPr>
                <w:rFonts w:ascii="Arial" w:hAnsi="Arial" w:cs="Arial"/>
                <w:sz w:val="18"/>
                <w:szCs w:val="18"/>
              </w:rPr>
              <w:t>97.5μL</w:t>
            </w:r>
          </w:p>
        </w:tc>
        <w:tc>
          <w:tcPr>
            <w:tcW w:w="690" w:type="pct"/>
            <w:tcBorders>
              <w:top w:val="single" w:sz="4" w:space="0" w:color="auto"/>
            </w:tcBorders>
          </w:tcPr>
          <w:p w14:paraId="3FFDC17D"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50 μL</w:t>
            </w:r>
          </w:p>
        </w:tc>
        <w:tc>
          <w:tcPr>
            <w:tcW w:w="692" w:type="pct"/>
            <w:tcBorders>
              <w:top w:val="single" w:sz="4" w:space="0" w:color="auto"/>
            </w:tcBorders>
          </w:tcPr>
          <w:p w14:paraId="04F4B540"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2.5 μL</w:t>
            </w:r>
          </w:p>
        </w:tc>
        <w:tc>
          <w:tcPr>
            <w:tcW w:w="690" w:type="pct"/>
            <w:tcBorders>
              <w:top w:val="single" w:sz="4" w:space="0" w:color="auto"/>
            </w:tcBorders>
          </w:tcPr>
          <w:p w14:paraId="3ADA0DC0"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100 μL</w:t>
            </w:r>
          </w:p>
        </w:tc>
        <w:tc>
          <w:tcPr>
            <w:tcW w:w="685" w:type="pct"/>
            <w:gridSpan w:val="2"/>
            <w:tcBorders>
              <w:top w:val="single" w:sz="4" w:space="0" w:color="auto"/>
            </w:tcBorders>
          </w:tcPr>
          <w:p w14:paraId="5A4E4CC0"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w:t>
            </w:r>
          </w:p>
        </w:tc>
        <w:tc>
          <w:tcPr>
            <w:tcW w:w="862" w:type="pct"/>
            <w:tcBorders>
              <w:top w:val="single" w:sz="4" w:space="0" w:color="auto"/>
            </w:tcBorders>
          </w:tcPr>
          <w:p w14:paraId="08E33EF7"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OVA</w:t>
            </w:r>
          </w:p>
          <w:p w14:paraId="10F33BB6" w14:textId="06E536AE"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 xml:space="preserve">50 μL </w:t>
            </w:r>
          </w:p>
        </w:tc>
      </w:tr>
      <w:tr w:rsidR="00AE1D48" w:rsidRPr="00F47E2D" w14:paraId="5DF5C073" w14:textId="77777777" w:rsidTr="008F54AA">
        <w:tc>
          <w:tcPr>
            <w:tcW w:w="778" w:type="pct"/>
          </w:tcPr>
          <w:p w14:paraId="4F0A76AC" w14:textId="77777777" w:rsidR="00AE1D48" w:rsidRPr="00F47E2D" w:rsidRDefault="00AE1D48" w:rsidP="00A96053">
            <w:pPr>
              <w:adjustRightInd w:val="0"/>
              <w:snapToGrid w:val="0"/>
              <w:rPr>
                <w:rFonts w:ascii="Arial" w:hAnsi="Arial" w:cs="Arial"/>
                <w:b/>
                <w:bCs/>
                <w:sz w:val="18"/>
                <w:szCs w:val="18"/>
              </w:rPr>
            </w:pPr>
            <w:r w:rsidRPr="00F47E2D">
              <w:rPr>
                <w:rFonts w:ascii="Arial" w:hAnsi="Arial" w:cs="Arial"/>
                <w:sz w:val="18"/>
                <w:szCs w:val="18"/>
              </w:rPr>
              <w:t xml:space="preserve">Sq@TA/Mn @OVA </w:t>
            </w:r>
          </w:p>
        </w:tc>
        <w:tc>
          <w:tcPr>
            <w:tcW w:w="603" w:type="pct"/>
          </w:tcPr>
          <w:p w14:paraId="5F779194"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785 μL</w:t>
            </w:r>
          </w:p>
        </w:tc>
        <w:tc>
          <w:tcPr>
            <w:tcW w:w="690" w:type="pct"/>
          </w:tcPr>
          <w:p w14:paraId="0918C697"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50 μL</w:t>
            </w:r>
          </w:p>
        </w:tc>
        <w:tc>
          <w:tcPr>
            <w:tcW w:w="692" w:type="pct"/>
          </w:tcPr>
          <w:p w14:paraId="168750F2"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2.5 μL</w:t>
            </w:r>
          </w:p>
        </w:tc>
        <w:tc>
          <w:tcPr>
            <w:tcW w:w="690" w:type="pct"/>
          </w:tcPr>
          <w:p w14:paraId="60390F55"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100 μL</w:t>
            </w:r>
          </w:p>
        </w:tc>
        <w:tc>
          <w:tcPr>
            <w:tcW w:w="685" w:type="pct"/>
            <w:gridSpan w:val="2"/>
          </w:tcPr>
          <w:p w14:paraId="080E0B4C"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12.5 μL</w:t>
            </w:r>
          </w:p>
        </w:tc>
        <w:tc>
          <w:tcPr>
            <w:tcW w:w="862" w:type="pct"/>
          </w:tcPr>
          <w:p w14:paraId="1DD406CD"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OVA</w:t>
            </w:r>
          </w:p>
          <w:p w14:paraId="6A15B60B" w14:textId="45C225DB"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 xml:space="preserve">50 μL </w:t>
            </w:r>
          </w:p>
        </w:tc>
      </w:tr>
      <w:tr w:rsidR="00AE1D48" w:rsidRPr="00F47E2D" w14:paraId="5866E3B3" w14:textId="77777777" w:rsidTr="008F54AA">
        <w:tc>
          <w:tcPr>
            <w:tcW w:w="778" w:type="pct"/>
          </w:tcPr>
          <w:p w14:paraId="37E4F0AB"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 xml:space="preserve">TA/Mn@rPal </w:t>
            </w:r>
          </w:p>
        </w:tc>
        <w:tc>
          <w:tcPr>
            <w:tcW w:w="603" w:type="pct"/>
          </w:tcPr>
          <w:p w14:paraId="64F19162" w14:textId="4027113F" w:rsidR="00AE1D48" w:rsidRPr="00F47E2D" w:rsidRDefault="00474549" w:rsidP="00A96053">
            <w:pPr>
              <w:adjustRightInd w:val="0"/>
              <w:snapToGrid w:val="0"/>
              <w:rPr>
                <w:rFonts w:ascii="Arial" w:hAnsi="Arial" w:cs="Arial"/>
                <w:sz w:val="18"/>
                <w:szCs w:val="18"/>
              </w:rPr>
            </w:pPr>
            <w:r>
              <w:rPr>
                <w:rFonts w:ascii="Arial" w:hAnsi="Arial" w:cs="Arial" w:hint="eastAsia"/>
                <w:sz w:val="18"/>
                <w:szCs w:val="18"/>
              </w:rPr>
              <w:t>7</w:t>
            </w:r>
            <w:r w:rsidR="00AE1D48" w:rsidRPr="00F47E2D">
              <w:rPr>
                <w:rFonts w:ascii="Arial" w:hAnsi="Arial" w:cs="Arial"/>
                <w:sz w:val="18"/>
                <w:szCs w:val="18"/>
              </w:rPr>
              <w:t>97.5μL</w:t>
            </w:r>
          </w:p>
        </w:tc>
        <w:tc>
          <w:tcPr>
            <w:tcW w:w="690" w:type="pct"/>
          </w:tcPr>
          <w:p w14:paraId="22633E76"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50 μL</w:t>
            </w:r>
          </w:p>
        </w:tc>
        <w:tc>
          <w:tcPr>
            <w:tcW w:w="692" w:type="pct"/>
          </w:tcPr>
          <w:p w14:paraId="545FF0E2"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2.5 μL</w:t>
            </w:r>
          </w:p>
        </w:tc>
        <w:tc>
          <w:tcPr>
            <w:tcW w:w="690" w:type="pct"/>
          </w:tcPr>
          <w:p w14:paraId="7FA8FAE5"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100 μL</w:t>
            </w:r>
          </w:p>
        </w:tc>
        <w:tc>
          <w:tcPr>
            <w:tcW w:w="685" w:type="pct"/>
            <w:gridSpan w:val="2"/>
          </w:tcPr>
          <w:p w14:paraId="10AE1982"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w:t>
            </w:r>
          </w:p>
        </w:tc>
        <w:tc>
          <w:tcPr>
            <w:tcW w:w="862" w:type="pct"/>
          </w:tcPr>
          <w:p w14:paraId="02153C83"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rPal</w:t>
            </w:r>
          </w:p>
          <w:p w14:paraId="03BF2E7B" w14:textId="1550D7E4"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 xml:space="preserve">50 μL </w:t>
            </w:r>
          </w:p>
        </w:tc>
      </w:tr>
      <w:tr w:rsidR="00AE1D48" w:rsidRPr="00F47E2D" w14:paraId="22CCB074" w14:textId="77777777" w:rsidTr="008F54AA">
        <w:tc>
          <w:tcPr>
            <w:tcW w:w="778" w:type="pct"/>
            <w:tcBorders>
              <w:bottom w:val="single" w:sz="4" w:space="0" w:color="auto"/>
            </w:tcBorders>
          </w:tcPr>
          <w:p w14:paraId="7E3A31A4"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Sq@TA/Mn @rPal</w:t>
            </w:r>
          </w:p>
        </w:tc>
        <w:tc>
          <w:tcPr>
            <w:tcW w:w="603" w:type="pct"/>
            <w:tcBorders>
              <w:bottom w:val="single" w:sz="4" w:space="0" w:color="auto"/>
            </w:tcBorders>
          </w:tcPr>
          <w:p w14:paraId="198F5984"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785 μL</w:t>
            </w:r>
          </w:p>
        </w:tc>
        <w:tc>
          <w:tcPr>
            <w:tcW w:w="690" w:type="pct"/>
            <w:tcBorders>
              <w:bottom w:val="single" w:sz="4" w:space="0" w:color="auto"/>
            </w:tcBorders>
          </w:tcPr>
          <w:p w14:paraId="2B69D706"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50 μL</w:t>
            </w:r>
          </w:p>
        </w:tc>
        <w:tc>
          <w:tcPr>
            <w:tcW w:w="692" w:type="pct"/>
            <w:tcBorders>
              <w:bottom w:val="single" w:sz="4" w:space="0" w:color="auto"/>
            </w:tcBorders>
          </w:tcPr>
          <w:p w14:paraId="166AD241"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2.5 μL</w:t>
            </w:r>
          </w:p>
        </w:tc>
        <w:tc>
          <w:tcPr>
            <w:tcW w:w="690" w:type="pct"/>
            <w:tcBorders>
              <w:bottom w:val="single" w:sz="4" w:space="0" w:color="auto"/>
            </w:tcBorders>
          </w:tcPr>
          <w:p w14:paraId="1B10CF9F"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100 μL</w:t>
            </w:r>
          </w:p>
        </w:tc>
        <w:tc>
          <w:tcPr>
            <w:tcW w:w="685" w:type="pct"/>
            <w:gridSpan w:val="2"/>
            <w:tcBorders>
              <w:bottom w:val="single" w:sz="4" w:space="0" w:color="auto"/>
            </w:tcBorders>
          </w:tcPr>
          <w:p w14:paraId="6EF9CF97"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12.5 μL</w:t>
            </w:r>
          </w:p>
        </w:tc>
        <w:tc>
          <w:tcPr>
            <w:tcW w:w="862" w:type="pct"/>
            <w:tcBorders>
              <w:bottom w:val="single" w:sz="4" w:space="0" w:color="auto"/>
            </w:tcBorders>
          </w:tcPr>
          <w:p w14:paraId="009DC2FA" w14:textId="77777777"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rPal</w:t>
            </w:r>
          </w:p>
          <w:p w14:paraId="3F4DB2AF" w14:textId="300EFAA8" w:rsidR="00AE1D48" w:rsidRPr="00F47E2D" w:rsidRDefault="00AE1D48" w:rsidP="00A96053">
            <w:pPr>
              <w:adjustRightInd w:val="0"/>
              <w:snapToGrid w:val="0"/>
              <w:rPr>
                <w:rFonts w:ascii="Arial" w:hAnsi="Arial" w:cs="Arial"/>
                <w:sz w:val="18"/>
                <w:szCs w:val="18"/>
              </w:rPr>
            </w:pPr>
            <w:r w:rsidRPr="00F47E2D">
              <w:rPr>
                <w:rFonts w:ascii="Arial" w:hAnsi="Arial" w:cs="Arial"/>
                <w:sz w:val="18"/>
                <w:szCs w:val="18"/>
              </w:rPr>
              <w:t xml:space="preserve">50 μL </w:t>
            </w:r>
          </w:p>
        </w:tc>
      </w:tr>
    </w:tbl>
    <w:p w14:paraId="737DC02E" w14:textId="7AB31D29" w:rsidR="00AE1D48" w:rsidRPr="00F47E2D" w:rsidRDefault="00AE1D48" w:rsidP="007B4C5B">
      <w:pPr>
        <w:spacing w:after="240"/>
        <w:rPr>
          <w:rFonts w:ascii="Arial" w:hAnsi="Arial" w:cs="Arial"/>
          <w:sz w:val="20"/>
          <w:szCs w:val="20"/>
        </w:rPr>
      </w:pPr>
      <w:r w:rsidRPr="00F47E2D">
        <w:rPr>
          <w:rFonts w:ascii="Arial" w:hAnsi="Arial" w:cs="Arial"/>
          <w:sz w:val="20"/>
          <w:szCs w:val="20"/>
        </w:rPr>
        <w:t>Notes: The total volume is 1000 μL.</w:t>
      </w:r>
      <w:r w:rsidR="007B4C5B" w:rsidRPr="00F47E2D">
        <w:rPr>
          <w:rFonts w:ascii="Arial" w:hAnsi="Arial" w:cs="Arial"/>
          <w:sz w:val="20"/>
          <w:szCs w:val="20"/>
        </w:rPr>
        <w:br w:type="page"/>
      </w:r>
    </w:p>
    <w:p w14:paraId="545F1947" w14:textId="7E11EBBD" w:rsidR="00C230C6" w:rsidRPr="00F47E2D" w:rsidRDefault="00C230C6" w:rsidP="00A50BAE">
      <w:pPr>
        <w:widowControl/>
        <w:spacing w:line="480" w:lineRule="auto"/>
        <w:rPr>
          <w:rFonts w:ascii="Arial" w:hAnsi="Arial" w:cs="Arial"/>
          <w:sz w:val="20"/>
          <w:szCs w:val="20"/>
        </w:rPr>
      </w:pPr>
      <w:r w:rsidRPr="00F47E2D">
        <w:rPr>
          <w:rFonts w:ascii="Arial" w:hAnsi="Arial" w:cs="Arial"/>
          <w:b/>
          <w:bCs/>
          <w:sz w:val="20"/>
          <w:szCs w:val="20"/>
        </w:rPr>
        <w:lastRenderedPageBreak/>
        <w:t>Table S</w:t>
      </w:r>
      <w:r w:rsidR="00AE1D48" w:rsidRPr="00F47E2D">
        <w:rPr>
          <w:rFonts w:ascii="Arial" w:hAnsi="Arial" w:cs="Arial"/>
          <w:b/>
          <w:bCs/>
          <w:sz w:val="20"/>
          <w:szCs w:val="20"/>
        </w:rPr>
        <w:t>2</w:t>
      </w:r>
      <w:r w:rsidRPr="00F47E2D">
        <w:rPr>
          <w:rFonts w:ascii="Arial" w:hAnsi="Arial" w:cs="Arial"/>
          <w:sz w:val="20"/>
          <w:szCs w:val="20"/>
        </w:rPr>
        <w:t xml:space="preserve"> The list of antibodies used in this study</w:t>
      </w:r>
    </w:p>
    <w:tbl>
      <w:tblPr>
        <w:tblStyle w:val="TableGrid"/>
        <w:tblW w:w="0" w:type="auto"/>
        <w:tblLook w:val="04A0" w:firstRow="1" w:lastRow="0" w:firstColumn="1" w:lastColumn="0" w:noHBand="0" w:noVBand="1"/>
      </w:tblPr>
      <w:tblGrid>
        <w:gridCol w:w="3823"/>
        <w:gridCol w:w="1701"/>
        <w:gridCol w:w="2772"/>
      </w:tblGrid>
      <w:tr w:rsidR="003C0C4B" w:rsidRPr="00F47E2D" w14:paraId="6FD20328" w14:textId="77777777" w:rsidTr="003C0C4B">
        <w:trPr>
          <w:trHeight w:val="652"/>
        </w:trPr>
        <w:tc>
          <w:tcPr>
            <w:tcW w:w="3823" w:type="dxa"/>
            <w:tcBorders>
              <w:left w:val="nil"/>
              <w:bottom w:val="single" w:sz="4" w:space="0" w:color="auto"/>
              <w:right w:val="nil"/>
            </w:tcBorders>
          </w:tcPr>
          <w:p w14:paraId="6763BD33" w14:textId="2F7FA06A"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Antibody</w:t>
            </w:r>
          </w:p>
        </w:tc>
        <w:tc>
          <w:tcPr>
            <w:tcW w:w="1701" w:type="dxa"/>
            <w:tcBorders>
              <w:left w:val="nil"/>
              <w:bottom w:val="single" w:sz="4" w:space="0" w:color="auto"/>
              <w:right w:val="nil"/>
            </w:tcBorders>
          </w:tcPr>
          <w:p w14:paraId="785E4064" w14:textId="4E39D561"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Cat number</w:t>
            </w:r>
          </w:p>
        </w:tc>
        <w:tc>
          <w:tcPr>
            <w:tcW w:w="2772" w:type="dxa"/>
            <w:tcBorders>
              <w:left w:val="nil"/>
              <w:bottom w:val="single" w:sz="4" w:space="0" w:color="auto"/>
              <w:right w:val="nil"/>
            </w:tcBorders>
          </w:tcPr>
          <w:p w14:paraId="52D927A0" w14:textId="1BBBC009"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Manufacturer</w:t>
            </w:r>
          </w:p>
        </w:tc>
      </w:tr>
      <w:tr w:rsidR="003C0C4B" w:rsidRPr="00F47E2D" w14:paraId="3A76C7CC" w14:textId="77777777" w:rsidTr="003C0C4B">
        <w:trPr>
          <w:trHeight w:val="652"/>
        </w:trPr>
        <w:tc>
          <w:tcPr>
            <w:tcW w:w="3823" w:type="dxa"/>
            <w:tcBorders>
              <w:top w:val="single" w:sz="4" w:space="0" w:color="auto"/>
              <w:left w:val="nil"/>
              <w:bottom w:val="nil"/>
              <w:right w:val="nil"/>
            </w:tcBorders>
          </w:tcPr>
          <w:p w14:paraId="66D01428" w14:textId="26A9452F"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PE-Cyanine7 anti-mouse CD44</w:t>
            </w:r>
          </w:p>
        </w:tc>
        <w:tc>
          <w:tcPr>
            <w:tcW w:w="1701" w:type="dxa"/>
            <w:tcBorders>
              <w:top w:val="single" w:sz="4" w:space="0" w:color="auto"/>
              <w:left w:val="nil"/>
              <w:bottom w:val="nil"/>
              <w:right w:val="nil"/>
            </w:tcBorders>
          </w:tcPr>
          <w:p w14:paraId="57A241D5" w14:textId="46CFF23E"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25-0441-82</w:t>
            </w:r>
          </w:p>
        </w:tc>
        <w:tc>
          <w:tcPr>
            <w:tcW w:w="2772" w:type="dxa"/>
            <w:tcBorders>
              <w:top w:val="single" w:sz="4" w:space="0" w:color="auto"/>
              <w:left w:val="nil"/>
              <w:bottom w:val="nil"/>
              <w:right w:val="nil"/>
            </w:tcBorders>
          </w:tcPr>
          <w:p w14:paraId="06C47986" w14:textId="328D0A05"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eBioscience</w:t>
            </w:r>
          </w:p>
        </w:tc>
      </w:tr>
      <w:tr w:rsidR="003C0C4B" w:rsidRPr="00F47E2D" w14:paraId="479A2AB2" w14:textId="77777777" w:rsidTr="003C0C4B">
        <w:trPr>
          <w:trHeight w:val="652"/>
        </w:trPr>
        <w:tc>
          <w:tcPr>
            <w:tcW w:w="3823" w:type="dxa"/>
            <w:tcBorders>
              <w:top w:val="nil"/>
              <w:left w:val="nil"/>
              <w:bottom w:val="nil"/>
              <w:right w:val="nil"/>
            </w:tcBorders>
          </w:tcPr>
          <w:p w14:paraId="79DBA6D6" w14:textId="67C61EF5"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BV421 Rat Anti-Mouse CD103</w:t>
            </w:r>
          </w:p>
        </w:tc>
        <w:tc>
          <w:tcPr>
            <w:tcW w:w="1701" w:type="dxa"/>
            <w:tcBorders>
              <w:top w:val="nil"/>
              <w:left w:val="nil"/>
              <w:bottom w:val="nil"/>
              <w:right w:val="nil"/>
            </w:tcBorders>
          </w:tcPr>
          <w:p w14:paraId="7A9C55C0" w14:textId="369E7F3C"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562771</w:t>
            </w:r>
          </w:p>
        </w:tc>
        <w:tc>
          <w:tcPr>
            <w:tcW w:w="2772" w:type="dxa"/>
            <w:tcBorders>
              <w:top w:val="nil"/>
              <w:left w:val="nil"/>
              <w:bottom w:val="nil"/>
              <w:right w:val="nil"/>
            </w:tcBorders>
          </w:tcPr>
          <w:p w14:paraId="5A92AA3F" w14:textId="7983FFA7"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BD Horizon™</w:t>
            </w:r>
          </w:p>
        </w:tc>
      </w:tr>
      <w:tr w:rsidR="003C0C4B" w:rsidRPr="00F47E2D" w14:paraId="4FC81A89" w14:textId="77777777" w:rsidTr="003C0C4B">
        <w:trPr>
          <w:trHeight w:val="652"/>
        </w:trPr>
        <w:tc>
          <w:tcPr>
            <w:tcW w:w="3823" w:type="dxa"/>
            <w:tcBorders>
              <w:top w:val="nil"/>
              <w:left w:val="nil"/>
              <w:bottom w:val="nil"/>
              <w:right w:val="nil"/>
            </w:tcBorders>
          </w:tcPr>
          <w:p w14:paraId="0064D984" w14:textId="57F3A839"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Fixable Viability Stain 700</w:t>
            </w:r>
          </w:p>
        </w:tc>
        <w:tc>
          <w:tcPr>
            <w:tcW w:w="1701" w:type="dxa"/>
            <w:tcBorders>
              <w:top w:val="nil"/>
              <w:left w:val="nil"/>
              <w:bottom w:val="nil"/>
              <w:right w:val="nil"/>
            </w:tcBorders>
          </w:tcPr>
          <w:p w14:paraId="37F9512E" w14:textId="3989649B"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564997</w:t>
            </w:r>
          </w:p>
        </w:tc>
        <w:tc>
          <w:tcPr>
            <w:tcW w:w="2772" w:type="dxa"/>
            <w:tcBorders>
              <w:top w:val="nil"/>
              <w:left w:val="nil"/>
              <w:bottom w:val="nil"/>
              <w:right w:val="nil"/>
            </w:tcBorders>
          </w:tcPr>
          <w:p w14:paraId="72AC1C57" w14:textId="66E5563D"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BD Horizon™</w:t>
            </w:r>
          </w:p>
        </w:tc>
      </w:tr>
      <w:tr w:rsidR="003C0C4B" w:rsidRPr="00F47E2D" w14:paraId="70689B94" w14:textId="77777777" w:rsidTr="003C0C4B">
        <w:trPr>
          <w:trHeight w:val="652"/>
        </w:trPr>
        <w:tc>
          <w:tcPr>
            <w:tcW w:w="3823" w:type="dxa"/>
            <w:tcBorders>
              <w:top w:val="nil"/>
              <w:left w:val="nil"/>
              <w:bottom w:val="nil"/>
              <w:right w:val="nil"/>
            </w:tcBorders>
          </w:tcPr>
          <w:p w14:paraId="4AAEC705" w14:textId="072A4A64"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FITC Rat Anti-Mouse CD4</w:t>
            </w:r>
          </w:p>
        </w:tc>
        <w:tc>
          <w:tcPr>
            <w:tcW w:w="1701" w:type="dxa"/>
            <w:tcBorders>
              <w:top w:val="nil"/>
              <w:left w:val="nil"/>
              <w:bottom w:val="nil"/>
              <w:right w:val="nil"/>
            </w:tcBorders>
          </w:tcPr>
          <w:p w14:paraId="2E15EF12" w14:textId="7C7484D7"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553650</w:t>
            </w:r>
          </w:p>
        </w:tc>
        <w:tc>
          <w:tcPr>
            <w:tcW w:w="2772" w:type="dxa"/>
            <w:tcBorders>
              <w:top w:val="nil"/>
              <w:left w:val="nil"/>
              <w:bottom w:val="nil"/>
              <w:right w:val="nil"/>
            </w:tcBorders>
          </w:tcPr>
          <w:p w14:paraId="1A8160BB" w14:textId="1D1913E2"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BD Pharmingen™</w:t>
            </w:r>
          </w:p>
        </w:tc>
      </w:tr>
      <w:tr w:rsidR="003C0C4B" w:rsidRPr="00F47E2D" w14:paraId="63947BE1" w14:textId="77777777" w:rsidTr="003C0C4B">
        <w:trPr>
          <w:trHeight w:val="652"/>
        </w:trPr>
        <w:tc>
          <w:tcPr>
            <w:tcW w:w="3823" w:type="dxa"/>
            <w:tcBorders>
              <w:top w:val="nil"/>
              <w:left w:val="nil"/>
              <w:bottom w:val="nil"/>
              <w:right w:val="nil"/>
            </w:tcBorders>
          </w:tcPr>
          <w:p w14:paraId="78257F10" w14:textId="661C8E9B"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APC/Cyanine7 anti-mouse CD3</w:t>
            </w:r>
          </w:p>
        </w:tc>
        <w:tc>
          <w:tcPr>
            <w:tcW w:w="1701" w:type="dxa"/>
            <w:tcBorders>
              <w:top w:val="nil"/>
              <w:left w:val="nil"/>
              <w:bottom w:val="nil"/>
              <w:right w:val="nil"/>
            </w:tcBorders>
          </w:tcPr>
          <w:p w14:paraId="51888438" w14:textId="7097B16A"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100222</w:t>
            </w:r>
          </w:p>
        </w:tc>
        <w:tc>
          <w:tcPr>
            <w:tcW w:w="2772" w:type="dxa"/>
            <w:tcBorders>
              <w:top w:val="nil"/>
              <w:left w:val="nil"/>
              <w:bottom w:val="nil"/>
              <w:right w:val="nil"/>
            </w:tcBorders>
          </w:tcPr>
          <w:p w14:paraId="7D453879" w14:textId="067E18F0"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Biolegend</w:t>
            </w:r>
          </w:p>
        </w:tc>
      </w:tr>
      <w:tr w:rsidR="003C0C4B" w:rsidRPr="00F47E2D" w14:paraId="7A5E8322" w14:textId="77777777" w:rsidTr="003C0C4B">
        <w:trPr>
          <w:trHeight w:val="652"/>
        </w:trPr>
        <w:tc>
          <w:tcPr>
            <w:tcW w:w="3823" w:type="dxa"/>
            <w:tcBorders>
              <w:top w:val="nil"/>
              <w:left w:val="nil"/>
              <w:bottom w:val="nil"/>
              <w:right w:val="nil"/>
            </w:tcBorders>
          </w:tcPr>
          <w:p w14:paraId="526165BE" w14:textId="2E8F522E"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Pacific Blue™ anti-mouse CD8a</w:t>
            </w:r>
          </w:p>
        </w:tc>
        <w:tc>
          <w:tcPr>
            <w:tcW w:w="1701" w:type="dxa"/>
            <w:tcBorders>
              <w:top w:val="nil"/>
              <w:left w:val="nil"/>
              <w:bottom w:val="nil"/>
              <w:right w:val="nil"/>
            </w:tcBorders>
          </w:tcPr>
          <w:p w14:paraId="7D88FF4A" w14:textId="4B5081E2"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100728</w:t>
            </w:r>
          </w:p>
        </w:tc>
        <w:tc>
          <w:tcPr>
            <w:tcW w:w="2772" w:type="dxa"/>
            <w:tcBorders>
              <w:top w:val="nil"/>
              <w:left w:val="nil"/>
              <w:bottom w:val="nil"/>
              <w:right w:val="nil"/>
            </w:tcBorders>
          </w:tcPr>
          <w:p w14:paraId="0BB6AED9" w14:textId="6A938667"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Biolegend</w:t>
            </w:r>
          </w:p>
        </w:tc>
      </w:tr>
      <w:tr w:rsidR="003C0C4B" w:rsidRPr="00F47E2D" w14:paraId="11D806C7" w14:textId="77777777" w:rsidTr="003C0C4B">
        <w:trPr>
          <w:trHeight w:val="652"/>
        </w:trPr>
        <w:tc>
          <w:tcPr>
            <w:tcW w:w="3823" w:type="dxa"/>
            <w:tcBorders>
              <w:top w:val="nil"/>
              <w:left w:val="nil"/>
              <w:bottom w:val="nil"/>
              <w:right w:val="nil"/>
            </w:tcBorders>
          </w:tcPr>
          <w:p w14:paraId="16D9BA6C" w14:textId="38980C50"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PE/Cyanine7 anti-mouse/human CD44</w:t>
            </w:r>
          </w:p>
        </w:tc>
        <w:tc>
          <w:tcPr>
            <w:tcW w:w="1701" w:type="dxa"/>
            <w:tcBorders>
              <w:top w:val="nil"/>
              <w:left w:val="nil"/>
              <w:bottom w:val="nil"/>
              <w:right w:val="nil"/>
            </w:tcBorders>
          </w:tcPr>
          <w:p w14:paraId="39D17982" w14:textId="3C1D2C4F"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103029</w:t>
            </w:r>
          </w:p>
        </w:tc>
        <w:tc>
          <w:tcPr>
            <w:tcW w:w="2772" w:type="dxa"/>
            <w:tcBorders>
              <w:top w:val="nil"/>
              <w:left w:val="nil"/>
              <w:bottom w:val="nil"/>
              <w:right w:val="nil"/>
            </w:tcBorders>
          </w:tcPr>
          <w:p w14:paraId="342F3383" w14:textId="4639A4F8"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Biolegend</w:t>
            </w:r>
          </w:p>
        </w:tc>
      </w:tr>
      <w:tr w:rsidR="003C0C4B" w:rsidRPr="00F47E2D" w14:paraId="6FD957E7" w14:textId="77777777" w:rsidTr="003C0C4B">
        <w:trPr>
          <w:trHeight w:val="652"/>
        </w:trPr>
        <w:tc>
          <w:tcPr>
            <w:tcW w:w="3823" w:type="dxa"/>
            <w:tcBorders>
              <w:top w:val="nil"/>
              <w:left w:val="nil"/>
              <w:bottom w:val="nil"/>
              <w:right w:val="nil"/>
            </w:tcBorders>
          </w:tcPr>
          <w:p w14:paraId="2788C022" w14:textId="2C7AA8DE"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PE anti-mouse CD62L</w:t>
            </w:r>
          </w:p>
        </w:tc>
        <w:tc>
          <w:tcPr>
            <w:tcW w:w="1701" w:type="dxa"/>
            <w:tcBorders>
              <w:top w:val="nil"/>
              <w:left w:val="nil"/>
              <w:bottom w:val="nil"/>
              <w:right w:val="nil"/>
            </w:tcBorders>
          </w:tcPr>
          <w:p w14:paraId="443FA8E6" w14:textId="78AD2044"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104407</w:t>
            </w:r>
          </w:p>
        </w:tc>
        <w:tc>
          <w:tcPr>
            <w:tcW w:w="2772" w:type="dxa"/>
            <w:tcBorders>
              <w:top w:val="nil"/>
              <w:left w:val="nil"/>
              <w:bottom w:val="nil"/>
              <w:right w:val="nil"/>
            </w:tcBorders>
          </w:tcPr>
          <w:p w14:paraId="593F6382" w14:textId="24BBC5D1"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Biolegend</w:t>
            </w:r>
          </w:p>
        </w:tc>
      </w:tr>
      <w:tr w:rsidR="003C0C4B" w:rsidRPr="00F47E2D" w14:paraId="183B3985" w14:textId="77777777" w:rsidTr="003C0C4B">
        <w:trPr>
          <w:trHeight w:val="652"/>
        </w:trPr>
        <w:tc>
          <w:tcPr>
            <w:tcW w:w="3823" w:type="dxa"/>
            <w:tcBorders>
              <w:top w:val="nil"/>
              <w:left w:val="nil"/>
              <w:bottom w:val="nil"/>
              <w:right w:val="nil"/>
            </w:tcBorders>
          </w:tcPr>
          <w:p w14:paraId="000E256B" w14:textId="52A0B92B"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PerCP/Cyanine5.5 anti-mouse CD69</w:t>
            </w:r>
          </w:p>
        </w:tc>
        <w:tc>
          <w:tcPr>
            <w:tcW w:w="1701" w:type="dxa"/>
            <w:tcBorders>
              <w:top w:val="nil"/>
              <w:left w:val="nil"/>
              <w:bottom w:val="nil"/>
              <w:right w:val="nil"/>
            </w:tcBorders>
          </w:tcPr>
          <w:p w14:paraId="39BE2DF2" w14:textId="7AEC8314"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104521</w:t>
            </w:r>
          </w:p>
        </w:tc>
        <w:tc>
          <w:tcPr>
            <w:tcW w:w="2772" w:type="dxa"/>
            <w:tcBorders>
              <w:top w:val="nil"/>
              <w:left w:val="nil"/>
              <w:bottom w:val="nil"/>
              <w:right w:val="nil"/>
            </w:tcBorders>
          </w:tcPr>
          <w:p w14:paraId="4FF57FF8" w14:textId="5E6D9C03"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Biolegend</w:t>
            </w:r>
          </w:p>
        </w:tc>
      </w:tr>
      <w:tr w:rsidR="003C0C4B" w:rsidRPr="00F47E2D" w14:paraId="5E79E454" w14:textId="77777777" w:rsidTr="003C0C4B">
        <w:trPr>
          <w:trHeight w:val="652"/>
        </w:trPr>
        <w:tc>
          <w:tcPr>
            <w:tcW w:w="3823" w:type="dxa"/>
            <w:tcBorders>
              <w:top w:val="nil"/>
              <w:left w:val="nil"/>
              <w:bottom w:val="nil"/>
              <w:right w:val="nil"/>
            </w:tcBorders>
          </w:tcPr>
          <w:p w14:paraId="331A506D" w14:textId="2E0701C6"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Brilliant Violet 510™ anti-mouse TNF-α</w:t>
            </w:r>
          </w:p>
        </w:tc>
        <w:tc>
          <w:tcPr>
            <w:tcW w:w="1701" w:type="dxa"/>
            <w:tcBorders>
              <w:top w:val="nil"/>
              <w:left w:val="nil"/>
              <w:bottom w:val="nil"/>
              <w:right w:val="nil"/>
            </w:tcBorders>
          </w:tcPr>
          <w:p w14:paraId="138C266A" w14:textId="5DDBC4DF"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506339</w:t>
            </w:r>
          </w:p>
        </w:tc>
        <w:tc>
          <w:tcPr>
            <w:tcW w:w="2772" w:type="dxa"/>
            <w:tcBorders>
              <w:top w:val="nil"/>
              <w:left w:val="nil"/>
              <w:bottom w:val="nil"/>
              <w:right w:val="nil"/>
            </w:tcBorders>
          </w:tcPr>
          <w:p w14:paraId="02AA688F" w14:textId="531C84D7"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Biolegend</w:t>
            </w:r>
          </w:p>
        </w:tc>
      </w:tr>
      <w:tr w:rsidR="003C0C4B" w:rsidRPr="00F47E2D" w14:paraId="669E8307" w14:textId="77777777" w:rsidTr="003C0C4B">
        <w:trPr>
          <w:trHeight w:val="74"/>
        </w:trPr>
        <w:tc>
          <w:tcPr>
            <w:tcW w:w="3823" w:type="dxa"/>
            <w:tcBorders>
              <w:top w:val="nil"/>
              <w:left w:val="nil"/>
              <w:bottom w:val="single" w:sz="4" w:space="0" w:color="auto"/>
              <w:right w:val="nil"/>
            </w:tcBorders>
          </w:tcPr>
          <w:p w14:paraId="05395512" w14:textId="0821002E"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Brilliant Violet 650™ anti-mouse IFN-γ</w:t>
            </w:r>
          </w:p>
        </w:tc>
        <w:tc>
          <w:tcPr>
            <w:tcW w:w="1701" w:type="dxa"/>
            <w:tcBorders>
              <w:top w:val="nil"/>
              <w:left w:val="nil"/>
              <w:bottom w:val="single" w:sz="4" w:space="0" w:color="auto"/>
              <w:right w:val="nil"/>
            </w:tcBorders>
          </w:tcPr>
          <w:p w14:paraId="038142E6" w14:textId="7510908B"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505832</w:t>
            </w:r>
          </w:p>
        </w:tc>
        <w:tc>
          <w:tcPr>
            <w:tcW w:w="2772" w:type="dxa"/>
            <w:tcBorders>
              <w:top w:val="nil"/>
              <w:left w:val="nil"/>
              <w:bottom w:val="single" w:sz="4" w:space="0" w:color="auto"/>
              <w:right w:val="nil"/>
            </w:tcBorders>
          </w:tcPr>
          <w:p w14:paraId="10F01D3E" w14:textId="1786084E" w:rsidR="003C0C4B" w:rsidRPr="00F47E2D" w:rsidRDefault="003C0C4B" w:rsidP="003C0C4B">
            <w:pPr>
              <w:widowControl/>
              <w:spacing w:line="480" w:lineRule="auto"/>
              <w:rPr>
                <w:rFonts w:ascii="Arial" w:hAnsi="Arial" w:cs="Arial"/>
                <w:sz w:val="18"/>
                <w:szCs w:val="18"/>
              </w:rPr>
            </w:pPr>
            <w:r w:rsidRPr="00F47E2D">
              <w:rPr>
                <w:rFonts w:ascii="Arial" w:hAnsi="Arial" w:cs="Arial"/>
                <w:sz w:val="18"/>
                <w:szCs w:val="18"/>
              </w:rPr>
              <w:t>Biolegend</w:t>
            </w:r>
          </w:p>
        </w:tc>
      </w:tr>
    </w:tbl>
    <w:p w14:paraId="295C6C7C" w14:textId="15F15B42" w:rsidR="00C230C6" w:rsidRPr="00F47E2D" w:rsidRDefault="00C230C6" w:rsidP="007B4C5B">
      <w:pPr>
        <w:snapToGrid w:val="0"/>
        <w:spacing w:before="240" w:line="480" w:lineRule="auto"/>
        <w:rPr>
          <w:rFonts w:ascii="Arial" w:hAnsi="Arial" w:cs="Arial"/>
          <w:b/>
          <w:bCs/>
          <w:sz w:val="20"/>
          <w:szCs w:val="20"/>
        </w:rPr>
      </w:pPr>
      <w:bookmarkStart w:id="7" w:name="_Hlk205388859"/>
      <w:bookmarkStart w:id="8" w:name="_Hlk205388727"/>
      <w:r w:rsidRPr="00F47E2D">
        <w:rPr>
          <w:rFonts w:ascii="Arial" w:hAnsi="Arial" w:cs="Arial"/>
          <w:b/>
          <w:bCs/>
          <w:sz w:val="20"/>
          <w:szCs w:val="20"/>
        </w:rPr>
        <w:t>Table S</w:t>
      </w:r>
      <w:r w:rsidR="00AE1D48" w:rsidRPr="00F47E2D">
        <w:rPr>
          <w:rFonts w:ascii="Arial" w:hAnsi="Arial" w:cs="Arial"/>
          <w:b/>
          <w:bCs/>
          <w:sz w:val="20"/>
          <w:szCs w:val="20"/>
        </w:rPr>
        <w:t>3</w:t>
      </w:r>
      <w:r w:rsidRPr="00F47E2D">
        <w:rPr>
          <w:rFonts w:ascii="Arial" w:hAnsi="Arial" w:cs="Arial"/>
          <w:b/>
          <w:bCs/>
          <w:sz w:val="20"/>
          <w:szCs w:val="20"/>
        </w:rPr>
        <w:t xml:space="preserve"> </w:t>
      </w:r>
      <w:r w:rsidRPr="00F47E2D">
        <w:rPr>
          <w:rFonts w:ascii="Arial" w:hAnsi="Arial" w:cs="Arial"/>
          <w:sz w:val="20"/>
          <w:szCs w:val="20"/>
        </w:rPr>
        <w:t>P values calculated between different groups</w:t>
      </w:r>
    </w:p>
    <w:tbl>
      <w:tblPr>
        <w:tblStyle w:val="TableGrid"/>
        <w:tblW w:w="0" w:type="auto"/>
        <w:jc w:val="center"/>
        <w:tblLook w:val="04A0" w:firstRow="1" w:lastRow="0" w:firstColumn="1" w:lastColumn="0" w:noHBand="0" w:noVBand="1"/>
      </w:tblPr>
      <w:tblGrid>
        <w:gridCol w:w="672"/>
        <w:gridCol w:w="1686"/>
        <w:gridCol w:w="2134"/>
        <w:gridCol w:w="2134"/>
      </w:tblGrid>
      <w:tr w:rsidR="00C230C6" w:rsidRPr="00F47E2D" w14:paraId="02E57F48" w14:textId="77777777" w:rsidTr="00A50BAE">
        <w:trPr>
          <w:trHeight w:val="277"/>
          <w:jc w:val="center"/>
        </w:trPr>
        <w:tc>
          <w:tcPr>
            <w:tcW w:w="444" w:type="dxa"/>
            <w:tcBorders>
              <w:top w:val="nil"/>
              <w:left w:val="nil"/>
              <w:bottom w:val="nil"/>
              <w:right w:val="nil"/>
            </w:tcBorders>
          </w:tcPr>
          <w:p w14:paraId="59BA9501" w14:textId="77777777" w:rsidR="00C230C6" w:rsidRPr="00F47E2D" w:rsidRDefault="00C230C6" w:rsidP="00A96053">
            <w:pPr>
              <w:snapToGrid w:val="0"/>
              <w:spacing w:line="480" w:lineRule="auto"/>
              <w:rPr>
                <w:rFonts w:ascii="Arial" w:hAnsi="Arial" w:cs="Arial"/>
                <w:sz w:val="20"/>
                <w:szCs w:val="20"/>
              </w:rPr>
            </w:pPr>
          </w:p>
        </w:tc>
        <w:tc>
          <w:tcPr>
            <w:tcW w:w="0" w:type="auto"/>
            <w:tcBorders>
              <w:top w:val="nil"/>
              <w:left w:val="nil"/>
              <w:bottom w:val="single" w:sz="4" w:space="0" w:color="auto"/>
              <w:right w:val="nil"/>
            </w:tcBorders>
          </w:tcPr>
          <w:p w14:paraId="65F33DE6"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Groups</w:t>
            </w:r>
          </w:p>
        </w:tc>
        <w:tc>
          <w:tcPr>
            <w:tcW w:w="0" w:type="auto"/>
            <w:tcBorders>
              <w:top w:val="nil"/>
              <w:left w:val="nil"/>
              <w:bottom w:val="single" w:sz="4" w:space="0" w:color="auto"/>
              <w:right w:val="nil"/>
            </w:tcBorders>
          </w:tcPr>
          <w:p w14:paraId="3F9A8808" w14:textId="77777777" w:rsidR="00C230C6" w:rsidRPr="00F47E2D" w:rsidRDefault="00C230C6" w:rsidP="00A96053">
            <w:pPr>
              <w:snapToGrid w:val="0"/>
              <w:spacing w:line="480" w:lineRule="auto"/>
              <w:rPr>
                <w:rFonts w:ascii="Arial" w:hAnsi="Arial" w:cs="Arial"/>
                <w:sz w:val="20"/>
                <w:szCs w:val="20"/>
              </w:rPr>
            </w:pPr>
          </w:p>
        </w:tc>
        <w:tc>
          <w:tcPr>
            <w:tcW w:w="0" w:type="auto"/>
            <w:tcBorders>
              <w:top w:val="nil"/>
              <w:left w:val="nil"/>
              <w:bottom w:val="single" w:sz="4" w:space="0" w:color="auto"/>
              <w:right w:val="nil"/>
            </w:tcBorders>
          </w:tcPr>
          <w:p w14:paraId="26616ED4" w14:textId="77777777" w:rsidR="00C230C6" w:rsidRPr="00F47E2D" w:rsidRDefault="00C230C6" w:rsidP="00A96053">
            <w:pPr>
              <w:snapToGrid w:val="0"/>
              <w:spacing w:line="480" w:lineRule="auto"/>
              <w:rPr>
                <w:rFonts w:ascii="Arial" w:hAnsi="Arial" w:cs="Arial"/>
                <w:sz w:val="20"/>
                <w:szCs w:val="20"/>
              </w:rPr>
            </w:pPr>
          </w:p>
        </w:tc>
      </w:tr>
      <w:tr w:rsidR="00C230C6" w:rsidRPr="00F47E2D" w14:paraId="54294337" w14:textId="77777777" w:rsidTr="00A50BAE">
        <w:trPr>
          <w:trHeight w:val="570"/>
          <w:jc w:val="center"/>
        </w:trPr>
        <w:tc>
          <w:tcPr>
            <w:tcW w:w="444" w:type="dxa"/>
            <w:tcBorders>
              <w:top w:val="nil"/>
              <w:left w:val="nil"/>
              <w:bottom w:val="single" w:sz="4" w:space="0" w:color="auto"/>
              <w:right w:val="nil"/>
            </w:tcBorders>
          </w:tcPr>
          <w:p w14:paraId="39508C7A" w14:textId="77777777" w:rsidR="00C230C6" w:rsidRPr="00F47E2D" w:rsidRDefault="00C230C6" w:rsidP="00A96053">
            <w:pPr>
              <w:snapToGrid w:val="0"/>
              <w:spacing w:line="480" w:lineRule="auto"/>
              <w:rPr>
                <w:rFonts w:ascii="Arial" w:hAnsi="Arial" w:cs="Arial"/>
                <w:sz w:val="20"/>
                <w:szCs w:val="20"/>
              </w:rPr>
            </w:pPr>
          </w:p>
          <w:p w14:paraId="6229FB50"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Days</w:t>
            </w:r>
          </w:p>
        </w:tc>
        <w:tc>
          <w:tcPr>
            <w:tcW w:w="0" w:type="auto"/>
            <w:tcBorders>
              <w:left w:val="nil"/>
              <w:bottom w:val="single" w:sz="4" w:space="0" w:color="auto"/>
              <w:right w:val="nil"/>
            </w:tcBorders>
          </w:tcPr>
          <w:p w14:paraId="74E154DC" w14:textId="1375455D" w:rsidR="0082112C" w:rsidRPr="00F47E2D" w:rsidRDefault="00C230C6" w:rsidP="0082112C">
            <w:pPr>
              <w:snapToGrid w:val="0"/>
              <w:spacing w:line="480" w:lineRule="auto"/>
              <w:ind w:left="200" w:hangingChars="100" w:hanging="200"/>
              <w:jc w:val="center"/>
              <w:rPr>
                <w:rFonts w:ascii="Arial" w:hAnsi="Arial" w:cs="Arial"/>
                <w:sz w:val="20"/>
                <w:szCs w:val="20"/>
              </w:rPr>
            </w:pPr>
            <w:r w:rsidRPr="00F47E2D">
              <w:rPr>
                <w:rFonts w:ascii="Arial" w:hAnsi="Arial" w:cs="Arial"/>
                <w:sz w:val="20"/>
                <w:szCs w:val="20"/>
              </w:rPr>
              <w:t>OVA</w:t>
            </w:r>
          </w:p>
          <w:p w14:paraId="7F9B187B" w14:textId="16632724" w:rsidR="00C230C6" w:rsidRPr="00F47E2D" w:rsidRDefault="0082112C" w:rsidP="0082112C">
            <w:pPr>
              <w:snapToGrid w:val="0"/>
              <w:spacing w:line="480" w:lineRule="auto"/>
              <w:ind w:left="200" w:hangingChars="100" w:hanging="200"/>
              <w:jc w:val="center"/>
              <w:rPr>
                <w:rFonts w:ascii="Arial" w:hAnsi="Arial" w:cs="Arial"/>
                <w:sz w:val="20"/>
                <w:szCs w:val="20"/>
              </w:rPr>
            </w:pPr>
            <w:r w:rsidRPr="00F47E2D">
              <w:rPr>
                <w:rFonts w:ascii="Arial" w:hAnsi="Arial" w:cs="Arial"/>
                <w:i/>
                <w:iCs/>
                <w:sz w:val="20"/>
                <w:szCs w:val="20"/>
              </w:rPr>
              <w:t>vs</w:t>
            </w:r>
            <w:r w:rsidRPr="00F47E2D">
              <w:rPr>
                <w:rFonts w:ascii="Arial" w:hAnsi="Arial" w:cs="Arial"/>
                <w:sz w:val="20"/>
                <w:szCs w:val="20"/>
              </w:rPr>
              <w:t xml:space="preserve"> </w:t>
            </w:r>
            <w:r w:rsidR="00C230C6" w:rsidRPr="00F47E2D">
              <w:rPr>
                <w:rFonts w:ascii="Arial" w:hAnsi="Arial" w:cs="Arial"/>
                <w:sz w:val="20"/>
                <w:szCs w:val="20"/>
              </w:rPr>
              <w:t>TA/Mn@OVA</w:t>
            </w:r>
          </w:p>
        </w:tc>
        <w:tc>
          <w:tcPr>
            <w:tcW w:w="0" w:type="auto"/>
            <w:tcBorders>
              <w:left w:val="nil"/>
              <w:bottom w:val="single" w:sz="4" w:space="0" w:color="auto"/>
              <w:right w:val="nil"/>
            </w:tcBorders>
          </w:tcPr>
          <w:p w14:paraId="6B154016" w14:textId="3F253290" w:rsidR="0082112C" w:rsidRPr="00F47E2D" w:rsidRDefault="00C230C6" w:rsidP="0082112C">
            <w:pPr>
              <w:snapToGrid w:val="0"/>
              <w:spacing w:line="480" w:lineRule="auto"/>
              <w:jc w:val="center"/>
              <w:rPr>
                <w:rFonts w:ascii="Arial" w:hAnsi="Arial" w:cs="Arial"/>
                <w:sz w:val="20"/>
                <w:szCs w:val="20"/>
              </w:rPr>
            </w:pPr>
            <w:r w:rsidRPr="00F47E2D">
              <w:rPr>
                <w:rFonts w:ascii="Arial" w:hAnsi="Arial" w:cs="Arial"/>
                <w:sz w:val="20"/>
                <w:szCs w:val="20"/>
              </w:rPr>
              <w:t>OVA</w:t>
            </w:r>
          </w:p>
          <w:p w14:paraId="7C072083" w14:textId="73D91C07" w:rsidR="00C230C6" w:rsidRPr="00F47E2D" w:rsidRDefault="00C230C6" w:rsidP="0082112C">
            <w:pPr>
              <w:snapToGrid w:val="0"/>
              <w:spacing w:line="480" w:lineRule="auto"/>
              <w:jc w:val="center"/>
              <w:rPr>
                <w:rFonts w:ascii="Arial" w:hAnsi="Arial" w:cs="Arial"/>
                <w:sz w:val="20"/>
                <w:szCs w:val="20"/>
              </w:rPr>
            </w:pPr>
            <w:r w:rsidRPr="00F47E2D">
              <w:rPr>
                <w:rFonts w:ascii="Arial" w:hAnsi="Arial" w:cs="Arial"/>
                <w:i/>
                <w:iCs/>
                <w:sz w:val="20"/>
                <w:szCs w:val="20"/>
              </w:rPr>
              <w:t>vs</w:t>
            </w:r>
            <w:r w:rsidRPr="00F47E2D">
              <w:rPr>
                <w:rFonts w:ascii="Arial" w:hAnsi="Arial" w:cs="Arial"/>
                <w:sz w:val="20"/>
                <w:szCs w:val="20"/>
              </w:rPr>
              <w:t xml:space="preserve"> Sq@TA/Mn@OVA</w:t>
            </w:r>
          </w:p>
        </w:tc>
        <w:tc>
          <w:tcPr>
            <w:tcW w:w="0" w:type="auto"/>
            <w:tcBorders>
              <w:left w:val="nil"/>
              <w:bottom w:val="single" w:sz="4" w:space="0" w:color="auto"/>
              <w:right w:val="nil"/>
            </w:tcBorders>
          </w:tcPr>
          <w:p w14:paraId="7101A7E2" w14:textId="69F8ADFF" w:rsidR="0082112C" w:rsidRPr="00F47E2D" w:rsidRDefault="00C230C6" w:rsidP="0082112C">
            <w:pPr>
              <w:snapToGrid w:val="0"/>
              <w:spacing w:line="480" w:lineRule="auto"/>
              <w:jc w:val="center"/>
              <w:rPr>
                <w:rFonts w:ascii="Arial" w:hAnsi="Arial" w:cs="Arial"/>
                <w:sz w:val="20"/>
                <w:szCs w:val="20"/>
              </w:rPr>
            </w:pPr>
            <w:r w:rsidRPr="00F47E2D">
              <w:rPr>
                <w:rFonts w:ascii="Arial" w:hAnsi="Arial" w:cs="Arial"/>
                <w:sz w:val="20"/>
                <w:szCs w:val="20"/>
              </w:rPr>
              <w:t>TA/Mn@OVA</w:t>
            </w:r>
          </w:p>
          <w:p w14:paraId="38774F48" w14:textId="6CD98CF6" w:rsidR="00C230C6" w:rsidRPr="00F47E2D" w:rsidRDefault="00C230C6" w:rsidP="0082112C">
            <w:pPr>
              <w:snapToGrid w:val="0"/>
              <w:spacing w:line="480" w:lineRule="auto"/>
              <w:jc w:val="center"/>
              <w:rPr>
                <w:rFonts w:ascii="Arial" w:hAnsi="Arial" w:cs="Arial"/>
                <w:sz w:val="20"/>
                <w:szCs w:val="20"/>
              </w:rPr>
            </w:pPr>
            <w:r w:rsidRPr="00F47E2D">
              <w:rPr>
                <w:rFonts w:ascii="Arial" w:hAnsi="Arial" w:cs="Arial"/>
                <w:i/>
                <w:iCs/>
                <w:sz w:val="20"/>
                <w:szCs w:val="20"/>
              </w:rPr>
              <w:t>vs</w:t>
            </w:r>
            <w:r w:rsidRPr="00F47E2D">
              <w:rPr>
                <w:rFonts w:ascii="Arial" w:hAnsi="Arial" w:cs="Arial"/>
                <w:sz w:val="20"/>
                <w:szCs w:val="20"/>
              </w:rPr>
              <w:t xml:space="preserve"> Sq@TA/Mn@OVA</w:t>
            </w:r>
          </w:p>
        </w:tc>
      </w:tr>
      <w:tr w:rsidR="00C230C6" w:rsidRPr="00F47E2D" w14:paraId="5A61C3C7" w14:textId="77777777" w:rsidTr="00A50BAE">
        <w:trPr>
          <w:trHeight w:val="381"/>
          <w:jc w:val="center"/>
        </w:trPr>
        <w:tc>
          <w:tcPr>
            <w:tcW w:w="444" w:type="dxa"/>
            <w:tcBorders>
              <w:top w:val="single" w:sz="4" w:space="0" w:color="auto"/>
              <w:left w:val="nil"/>
              <w:bottom w:val="nil"/>
              <w:right w:val="nil"/>
            </w:tcBorders>
          </w:tcPr>
          <w:p w14:paraId="4E046873"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14</w:t>
            </w:r>
          </w:p>
        </w:tc>
        <w:tc>
          <w:tcPr>
            <w:tcW w:w="0" w:type="auto"/>
            <w:tcBorders>
              <w:top w:val="single" w:sz="4" w:space="0" w:color="auto"/>
              <w:left w:val="nil"/>
              <w:bottom w:val="nil"/>
              <w:right w:val="nil"/>
            </w:tcBorders>
          </w:tcPr>
          <w:p w14:paraId="1A27EAF5"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w:t>
            </w:r>
          </w:p>
        </w:tc>
        <w:tc>
          <w:tcPr>
            <w:tcW w:w="0" w:type="auto"/>
            <w:tcBorders>
              <w:top w:val="single" w:sz="4" w:space="0" w:color="auto"/>
              <w:left w:val="nil"/>
              <w:bottom w:val="nil"/>
              <w:right w:val="nil"/>
            </w:tcBorders>
          </w:tcPr>
          <w:p w14:paraId="086D710E"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w:t>
            </w:r>
          </w:p>
        </w:tc>
        <w:tc>
          <w:tcPr>
            <w:tcW w:w="0" w:type="auto"/>
            <w:tcBorders>
              <w:top w:val="single" w:sz="4" w:space="0" w:color="auto"/>
              <w:left w:val="nil"/>
              <w:bottom w:val="nil"/>
              <w:right w:val="nil"/>
            </w:tcBorders>
          </w:tcPr>
          <w:p w14:paraId="6996D477"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ns</w:t>
            </w:r>
          </w:p>
        </w:tc>
      </w:tr>
      <w:tr w:rsidR="00C230C6" w:rsidRPr="00F47E2D" w14:paraId="22A31CAE" w14:textId="77777777" w:rsidTr="00A50BAE">
        <w:trPr>
          <w:trHeight w:val="233"/>
          <w:jc w:val="center"/>
        </w:trPr>
        <w:tc>
          <w:tcPr>
            <w:tcW w:w="444" w:type="dxa"/>
            <w:tcBorders>
              <w:top w:val="nil"/>
              <w:left w:val="nil"/>
              <w:bottom w:val="nil"/>
              <w:right w:val="nil"/>
            </w:tcBorders>
          </w:tcPr>
          <w:p w14:paraId="73A08E5E"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21</w:t>
            </w:r>
          </w:p>
        </w:tc>
        <w:tc>
          <w:tcPr>
            <w:tcW w:w="0" w:type="auto"/>
            <w:tcBorders>
              <w:top w:val="nil"/>
              <w:left w:val="nil"/>
              <w:bottom w:val="nil"/>
              <w:right w:val="nil"/>
            </w:tcBorders>
          </w:tcPr>
          <w:p w14:paraId="7182AD9F"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ns</w:t>
            </w:r>
          </w:p>
        </w:tc>
        <w:tc>
          <w:tcPr>
            <w:tcW w:w="0" w:type="auto"/>
            <w:tcBorders>
              <w:top w:val="nil"/>
              <w:left w:val="nil"/>
              <w:bottom w:val="nil"/>
              <w:right w:val="nil"/>
            </w:tcBorders>
          </w:tcPr>
          <w:p w14:paraId="3D4BA82B"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w:t>
            </w:r>
          </w:p>
        </w:tc>
        <w:tc>
          <w:tcPr>
            <w:tcW w:w="0" w:type="auto"/>
            <w:tcBorders>
              <w:top w:val="nil"/>
              <w:left w:val="nil"/>
              <w:bottom w:val="nil"/>
              <w:right w:val="nil"/>
            </w:tcBorders>
          </w:tcPr>
          <w:p w14:paraId="1A7F59C2"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w:t>
            </w:r>
          </w:p>
        </w:tc>
      </w:tr>
      <w:tr w:rsidR="00C230C6" w:rsidRPr="00F47E2D" w14:paraId="7D2F1BBD" w14:textId="77777777" w:rsidTr="00A50BAE">
        <w:trPr>
          <w:trHeight w:val="237"/>
          <w:jc w:val="center"/>
        </w:trPr>
        <w:tc>
          <w:tcPr>
            <w:tcW w:w="444" w:type="dxa"/>
            <w:tcBorders>
              <w:top w:val="nil"/>
              <w:left w:val="nil"/>
              <w:bottom w:val="nil"/>
              <w:right w:val="nil"/>
            </w:tcBorders>
          </w:tcPr>
          <w:p w14:paraId="668FF156"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30</w:t>
            </w:r>
          </w:p>
        </w:tc>
        <w:tc>
          <w:tcPr>
            <w:tcW w:w="0" w:type="auto"/>
            <w:tcBorders>
              <w:top w:val="nil"/>
              <w:left w:val="nil"/>
              <w:bottom w:val="nil"/>
              <w:right w:val="nil"/>
            </w:tcBorders>
          </w:tcPr>
          <w:p w14:paraId="3B2A5DF0"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ns</w:t>
            </w:r>
          </w:p>
        </w:tc>
        <w:tc>
          <w:tcPr>
            <w:tcW w:w="0" w:type="auto"/>
            <w:tcBorders>
              <w:top w:val="nil"/>
              <w:left w:val="nil"/>
              <w:bottom w:val="nil"/>
              <w:right w:val="nil"/>
            </w:tcBorders>
          </w:tcPr>
          <w:p w14:paraId="63629707"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w:t>
            </w:r>
          </w:p>
        </w:tc>
        <w:tc>
          <w:tcPr>
            <w:tcW w:w="0" w:type="auto"/>
            <w:tcBorders>
              <w:top w:val="nil"/>
              <w:left w:val="nil"/>
              <w:bottom w:val="nil"/>
              <w:right w:val="nil"/>
            </w:tcBorders>
          </w:tcPr>
          <w:p w14:paraId="5848D563"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w:t>
            </w:r>
          </w:p>
        </w:tc>
      </w:tr>
      <w:tr w:rsidR="00C230C6" w:rsidRPr="00F47E2D" w14:paraId="569BF421" w14:textId="77777777" w:rsidTr="00A50BAE">
        <w:trPr>
          <w:trHeight w:val="161"/>
          <w:jc w:val="center"/>
        </w:trPr>
        <w:tc>
          <w:tcPr>
            <w:tcW w:w="444" w:type="dxa"/>
            <w:tcBorders>
              <w:top w:val="nil"/>
              <w:left w:val="nil"/>
              <w:bottom w:val="nil"/>
              <w:right w:val="nil"/>
            </w:tcBorders>
          </w:tcPr>
          <w:p w14:paraId="13482DA1"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42</w:t>
            </w:r>
          </w:p>
        </w:tc>
        <w:tc>
          <w:tcPr>
            <w:tcW w:w="0" w:type="auto"/>
            <w:tcBorders>
              <w:top w:val="nil"/>
              <w:left w:val="nil"/>
              <w:bottom w:val="nil"/>
              <w:right w:val="nil"/>
            </w:tcBorders>
          </w:tcPr>
          <w:p w14:paraId="530B38A7"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ns</w:t>
            </w:r>
          </w:p>
        </w:tc>
        <w:tc>
          <w:tcPr>
            <w:tcW w:w="0" w:type="auto"/>
            <w:tcBorders>
              <w:top w:val="nil"/>
              <w:left w:val="nil"/>
              <w:bottom w:val="nil"/>
              <w:right w:val="nil"/>
            </w:tcBorders>
          </w:tcPr>
          <w:p w14:paraId="70893D3A"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w:t>
            </w:r>
          </w:p>
        </w:tc>
        <w:tc>
          <w:tcPr>
            <w:tcW w:w="0" w:type="auto"/>
            <w:tcBorders>
              <w:top w:val="nil"/>
              <w:left w:val="nil"/>
              <w:bottom w:val="nil"/>
              <w:right w:val="nil"/>
            </w:tcBorders>
          </w:tcPr>
          <w:p w14:paraId="5BFEBCC0"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w:t>
            </w:r>
          </w:p>
        </w:tc>
      </w:tr>
      <w:tr w:rsidR="00C230C6" w:rsidRPr="00F47E2D" w14:paraId="41E3BF22" w14:textId="77777777" w:rsidTr="00A50BAE">
        <w:trPr>
          <w:trHeight w:val="50"/>
          <w:jc w:val="center"/>
        </w:trPr>
        <w:tc>
          <w:tcPr>
            <w:tcW w:w="444" w:type="dxa"/>
            <w:tcBorders>
              <w:top w:val="nil"/>
              <w:left w:val="nil"/>
              <w:bottom w:val="single" w:sz="4" w:space="0" w:color="auto"/>
              <w:right w:val="nil"/>
            </w:tcBorders>
          </w:tcPr>
          <w:p w14:paraId="37F182C9"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56</w:t>
            </w:r>
          </w:p>
        </w:tc>
        <w:tc>
          <w:tcPr>
            <w:tcW w:w="0" w:type="auto"/>
            <w:tcBorders>
              <w:top w:val="nil"/>
              <w:left w:val="nil"/>
              <w:bottom w:val="single" w:sz="4" w:space="0" w:color="auto"/>
              <w:right w:val="nil"/>
            </w:tcBorders>
          </w:tcPr>
          <w:p w14:paraId="473328F8"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ns</w:t>
            </w:r>
          </w:p>
        </w:tc>
        <w:tc>
          <w:tcPr>
            <w:tcW w:w="0" w:type="auto"/>
            <w:tcBorders>
              <w:top w:val="nil"/>
              <w:left w:val="nil"/>
              <w:bottom w:val="single" w:sz="4" w:space="0" w:color="auto"/>
              <w:right w:val="nil"/>
            </w:tcBorders>
          </w:tcPr>
          <w:p w14:paraId="10B784AB"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w:t>
            </w:r>
          </w:p>
        </w:tc>
        <w:tc>
          <w:tcPr>
            <w:tcW w:w="0" w:type="auto"/>
            <w:tcBorders>
              <w:top w:val="nil"/>
              <w:left w:val="nil"/>
              <w:bottom w:val="single" w:sz="4" w:space="0" w:color="auto"/>
              <w:right w:val="nil"/>
            </w:tcBorders>
          </w:tcPr>
          <w:p w14:paraId="6B694E0A" w14:textId="77777777" w:rsidR="00C230C6" w:rsidRPr="00F47E2D" w:rsidRDefault="00C230C6" w:rsidP="00A96053">
            <w:pPr>
              <w:snapToGrid w:val="0"/>
              <w:spacing w:line="480" w:lineRule="auto"/>
              <w:rPr>
                <w:rFonts w:ascii="Arial" w:hAnsi="Arial" w:cs="Arial"/>
                <w:sz w:val="20"/>
                <w:szCs w:val="20"/>
              </w:rPr>
            </w:pPr>
            <w:r w:rsidRPr="00F47E2D">
              <w:rPr>
                <w:rFonts w:ascii="Arial" w:hAnsi="Arial" w:cs="Arial"/>
                <w:sz w:val="20"/>
                <w:szCs w:val="20"/>
              </w:rPr>
              <w:t>**</w:t>
            </w:r>
          </w:p>
        </w:tc>
      </w:tr>
    </w:tbl>
    <w:bookmarkEnd w:id="7"/>
    <w:p w14:paraId="4E65E18B" w14:textId="116E23C0" w:rsidR="00465F90" w:rsidRPr="00F47E2D" w:rsidRDefault="00C230C6" w:rsidP="007B4C5B">
      <w:pPr>
        <w:snapToGrid w:val="0"/>
        <w:spacing w:line="480" w:lineRule="auto"/>
        <w:rPr>
          <w:rFonts w:ascii="Arial" w:hAnsi="Arial" w:cs="Arial"/>
          <w:sz w:val="20"/>
          <w:szCs w:val="20"/>
        </w:rPr>
      </w:pPr>
      <w:r w:rsidRPr="00F47E2D">
        <w:rPr>
          <w:rFonts w:ascii="Arial" w:hAnsi="Arial" w:cs="Arial"/>
          <w:sz w:val="20"/>
          <w:szCs w:val="20"/>
        </w:rPr>
        <w:t>* for p &lt; 0.05, ** for p &lt; 0.01</w:t>
      </w:r>
      <w:r w:rsidR="00BF09BD" w:rsidRPr="00F47E2D">
        <w:rPr>
          <w:rFonts w:ascii="Arial" w:hAnsi="Arial" w:cs="Arial" w:hint="eastAsia"/>
          <w:sz w:val="20"/>
          <w:szCs w:val="20"/>
        </w:rPr>
        <w:t xml:space="preserve"> and</w:t>
      </w:r>
      <w:r w:rsidRPr="00F47E2D">
        <w:rPr>
          <w:rFonts w:ascii="Arial" w:hAnsi="Arial" w:cs="Arial"/>
          <w:sz w:val="20"/>
          <w:szCs w:val="20"/>
        </w:rPr>
        <w:t xml:space="preserve"> *** for p &lt; 0.001.</w:t>
      </w:r>
      <w:r w:rsidR="0082112C" w:rsidRPr="00F47E2D">
        <w:rPr>
          <w:rFonts w:ascii="Arial" w:eastAsia="Times New Roman" w:hAnsi="Arial" w:cs="Arial"/>
          <w:bCs/>
          <w:kern w:val="0"/>
          <w:sz w:val="20"/>
          <w:szCs w:val="20"/>
          <w:lang w:val="de-DE" w:eastAsia="ja-JP"/>
        </w:rPr>
        <w:t xml:space="preserve"> </w:t>
      </w:r>
      <w:r w:rsidR="0082112C" w:rsidRPr="00F47E2D">
        <w:rPr>
          <w:rFonts w:ascii="Arial" w:hAnsi="Arial" w:cs="Arial"/>
          <w:bCs/>
          <w:sz w:val="20"/>
          <w:szCs w:val="20"/>
          <w:lang w:val="de-DE"/>
        </w:rPr>
        <w:t>ns, not significant.</w:t>
      </w:r>
    </w:p>
    <w:p w14:paraId="19F4178A" w14:textId="4D4C6241" w:rsidR="00465F90" w:rsidRPr="00F47E2D" w:rsidRDefault="001052A3" w:rsidP="00A96053">
      <w:pPr>
        <w:spacing w:line="480" w:lineRule="auto"/>
        <w:rPr>
          <w:rFonts w:ascii="Arial" w:eastAsiaTheme="minorEastAsia" w:hAnsi="Arial" w:cs="Arial"/>
          <w:sz w:val="32"/>
          <w:szCs w:val="32"/>
        </w:rPr>
      </w:pPr>
      <w:bookmarkStart w:id="9" w:name="OLE_LINK60"/>
      <w:bookmarkStart w:id="10" w:name="OLE_LINK61"/>
      <w:bookmarkStart w:id="11" w:name="OLE_LINK62"/>
      <w:bookmarkEnd w:id="8"/>
      <w:r w:rsidRPr="00F47E2D">
        <w:rPr>
          <w:rFonts w:ascii="Arial" w:hAnsi="Arial" w:cs="Arial"/>
          <w:b/>
          <w:kern w:val="0"/>
          <w:sz w:val="32"/>
          <w:szCs w:val="32"/>
        </w:rPr>
        <w:lastRenderedPageBreak/>
        <w:t>Reference</w:t>
      </w:r>
      <w:bookmarkEnd w:id="9"/>
      <w:bookmarkEnd w:id="10"/>
      <w:bookmarkEnd w:id="11"/>
      <w:r w:rsidRPr="00F47E2D">
        <w:rPr>
          <w:rFonts w:ascii="Arial" w:hAnsi="Arial" w:cs="Arial"/>
          <w:b/>
          <w:kern w:val="0"/>
          <w:sz w:val="32"/>
          <w:szCs w:val="32"/>
        </w:rPr>
        <w:t>s:</w:t>
      </w:r>
    </w:p>
    <w:p w14:paraId="0EA71B13" w14:textId="3A7E1306" w:rsidR="002F646C" w:rsidRPr="002F646C" w:rsidRDefault="00465F90" w:rsidP="00CE13FD">
      <w:pPr>
        <w:pStyle w:val="EndNoteBibliography"/>
        <w:rPr>
          <w:rFonts w:ascii="Arial" w:hAnsi="Arial" w:cs="Arial"/>
          <w:sz w:val="20"/>
          <w:szCs w:val="20"/>
        </w:rPr>
      </w:pPr>
      <w:r w:rsidRPr="00F47E2D">
        <w:rPr>
          <w:rFonts w:ascii="Arial" w:hAnsi="Arial" w:cs="Arial"/>
          <w:sz w:val="20"/>
          <w:szCs w:val="20"/>
        </w:rPr>
        <w:fldChar w:fldCharType="begin"/>
      </w:r>
      <w:r w:rsidRPr="00F47E2D">
        <w:rPr>
          <w:rFonts w:ascii="Arial" w:hAnsi="Arial" w:cs="Arial"/>
          <w:sz w:val="20"/>
          <w:szCs w:val="20"/>
        </w:rPr>
        <w:instrText xml:space="preserve"> ADDIN EN.REFLIST </w:instrText>
      </w:r>
      <w:r w:rsidRPr="00F47E2D">
        <w:rPr>
          <w:rFonts w:ascii="Arial" w:hAnsi="Arial" w:cs="Arial"/>
          <w:sz w:val="20"/>
          <w:szCs w:val="20"/>
        </w:rPr>
        <w:fldChar w:fldCharType="separate"/>
      </w:r>
      <w:r w:rsidR="00553715" w:rsidRPr="00F47E2D">
        <w:rPr>
          <w:rFonts w:ascii="Arial" w:hAnsi="Arial" w:cs="Arial"/>
          <w:sz w:val="20"/>
          <w:szCs w:val="20"/>
        </w:rPr>
        <w:t>1.</w:t>
      </w:r>
      <w:r w:rsidR="00553715" w:rsidRPr="00F47E2D">
        <w:rPr>
          <w:rFonts w:ascii="Arial" w:hAnsi="Arial" w:cs="Arial"/>
          <w:sz w:val="20"/>
          <w:szCs w:val="20"/>
        </w:rPr>
        <w:tab/>
        <w:t xml:space="preserve">Zeng X, Wang N, Xiang C, et al. Peptidoglycan-associated lipoprotein contributes to the virulence of Acinetobacter baumannii and serves as a vaccine candidate. </w:t>
      </w:r>
      <w:r w:rsidR="00553715" w:rsidRPr="00F47E2D">
        <w:rPr>
          <w:rFonts w:ascii="Arial" w:hAnsi="Arial" w:cs="Arial"/>
          <w:i/>
          <w:sz w:val="20"/>
          <w:szCs w:val="20"/>
        </w:rPr>
        <w:t>Genomics</w:t>
      </w:r>
      <w:r w:rsidR="00553715" w:rsidRPr="00F47E2D">
        <w:rPr>
          <w:rFonts w:ascii="Arial" w:hAnsi="Arial" w:cs="Arial"/>
          <w:sz w:val="20"/>
          <w:szCs w:val="20"/>
        </w:rPr>
        <w:t>. 2023;115(2):110590. doi:10.1016/j.ygeno.2023.110590</w:t>
      </w:r>
      <w:r w:rsidRPr="00F47E2D">
        <w:rPr>
          <w:rFonts w:ascii="Arial" w:hAnsi="Arial" w:cs="Arial"/>
          <w:sz w:val="20"/>
          <w:szCs w:val="20"/>
        </w:rPr>
        <w:fldChar w:fldCharType="end"/>
      </w:r>
      <w:r w:rsidR="002F646C" w:rsidRPr="002F646C">
        <w:rPr>
          <w:rFonts w:ascii="Arial" w:hAnsi="Arial" w:cs="Arial"/>
          <w:sz w:val="20"/>
          <w:szCs w:val="20"/>
        </w:rPr>
        <w:t xml:space="preserve"> </w:t>
      </w:r>
    </w:p>
    <w:sectPr w:rsidR="002F646C" w:rsidRPr="002F646C" w:rsidSect="007B4C5B">
      <w:headerReference w:type="default" r:id="rId22"/>
      <w:footerReference w:type="even" r:id="rId23"/>
      <w:footerReference w:type="default" r:id="rId24"/>
      <w:footerReference w:type="first" r:id="rId25"/>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CBB77" w14:textId="77777777" w:rsidR="007D18BC" w:rsidRDefault="007D18BC" w:rsidP="00C230C6">
      <w:pPr>
        <w:spacing w:line="240" w:lineRule="auto"/>
      </w:pPr>
      <w:r>
        <w:separator/>
      </w:r>
    </w:p>
  </w:endnote>
  <w:endnote w:type="continuationSeparator" w:id="0">
    <w:p w14:paraId="34AC2D85" w14:textId="77777777" w:rsidR="007D18BC" w:rsidRDefault="007D18BC" w:rsidP="00C230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IDFont+F1">
    <w:altName w:val="Microsoft YaHei"/>
    <w:panose1 w:val="00000000000000000000"/>
    <w:charset w:val="86"/>
    <w:family w:val="auto"/>
    <w:notTrueType/>
    <w:pitch w:val="default"/>
    <w:sig w:usb0="00000001" w:usb1="080E0000" w:usb2="00000010" w:usb3="00000000" w:csb0="00040000" w:csb1="00000000"/>
  </w:font>
  <w:font w:name="CIDFont+F3">
    <w:altName w:val="Microsoft YaHei"/>
    <w:panose1 w:val="00000000000000000000"/>
    <w:charset w:val="86"/>
    <w:family w:val="auto"/>
    <w:notTrueType/>
    <w:pitch w:val="default"/>
    <w:sig w:usb0="00000001" w:usb1="080E0000" w:usb2="00000010" w:usb3="00000000" w:csb0="00040000"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56E3F" w14:textId="70413C86" w:rsidR="00300271" w:rsidRDefault="00300271">
    <w:pPr>
      <w:pStyle w:val="Footer"/>
    </w:pPr>
    <w:r>
      <w:rPr>
        <w:noProof/>
      </w:rPr>
      <mc:AlternateContent>
        <mc:Choice Requires="wps">
          <w:drawing>
            <wp:anchor distT="0" distB="0" distL="0" distR="0" simplePos="0" relativeHeight="251659264" behindDoc="0" locked="0" layoutInCell="1" allowOverlap="1" wp14:anchorId="11BBD5DF" wp14:editId="20FC4B7A">
              <wp:simplePos x="635" y="635"/>
              <wp:positionH relativeFrom="page">
                <wp:align>left</wp:align>
              </wp:positionH>
              <wp:positionV relativeFrom="page">
                <wp:align>bottom</wp:align>
              </wp:positionV>
              <wp:extent cx="2077085" cy="391795"/>
              <wp:effectExtent l="0" t="0" r="18415" b="0"/>
              <wp:wrapNone/>
              <wp:docPr id="13656463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91795"/>
                      </a:xfrm>
                      <a:prstGeom prst="rect">
                        <a:avLst/>
                      </a:prstGeom>
                      <a:noFill/>
                      <a:ln>
                        <a:noFill/>
                      </a:ln>
                    </wps:spPr>
                    <wps:txbx>
                      <w:txbxContent>
                        <w:p w14:paraId="03FD225D" w14:textId="211BE9B5" w:rsidR="00300271" w:rsidRPr="00300271" w:rsidRDefault="00300271" w:rsidP="00300271">
                          <w:pPr>
                            <w:rPr>
                              <w:rFonts w:ascii="Rockwell" w:eastAsia="Rockwell" w:hAnsi="Rockwell" w:cs="Rockwell"/>
                              <w:noProof/>
                              <w:color w:val="0078D7"/>
                              <w:sz w:val="18"/>
                              <w:szCs w:val="18"/>
                            </w:rPr>
                          </w:pPr>
                          <w:r w:rsidRPr="003002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1BBD5DF"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30.8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" filled="f" stroked="f">
              <v:fill o:detectmouseclick="t"/>
              <v:textbox style="mso-fit-shape-to-text:t" inset="20pt,0,0,15pt">
                <w:txbxContent>
                  <w:p w14:paraId="03FD225D" w14:textId="211BE9B5" w:rsidR="00300271" w:rsidRPr="00300271" w:rsidRDefault="00300271" w:rsidP="00300271">
                    <w:pPr>
                      <w:rPr>
                        <w:rFonts w:ascii="Rockwell" w:eastAsia="Rockwell" w:hAnsi="Rockwell" w:cs="Rockwell"/>
                        <w:noProof/>
                        <w:color w:val="0078D7"/>
                        <w:sz w:val="18"/>
                        <w:szCs w:val="18"/>
                      </w:rPr>
                    </w:pPr>
                    <w:r w:rsidRPr="0030027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2BFE0" w14:textId="30EA4A54" w:rsidR="00161FFB" w:rsidRDefault="00300271" w:rsidP="004518EA">
    <w:pPr>
      <w:pStyle w:val="Footer"/>
      <w:jc w:val="center"/>
    </w:pPr>
    <w:r>
      <w:rPr>
        <w:noProof/>
      </w:rPr>
      <mc:AlternateContent>
        <mc:Choice Requires="wps">
          <w:drawing>
            <wp:anchor distT="0" distB="0" distL="0" distR="0" simplePos="0" relativeHeight="251660288" behindDoc="0" locked="0" layoutInCell="1" allowOverlap="1" wp14:anchorId="27324E4F" wp14:editId="62A6ACD4">
              <wp:simplePos x="1143000" y="9550400"/>
              <wp:positionH relativeFrom="page">
                <wp:align>left</wp:align>
              </wp:positionH>
              <wp:positionV relativeFrom="page">
                <wp:align>bottom</wp:align>
              </wp:positionV>
              <wp:extent cx="2077085" cy="391795"/>
              <wp:effectExtent l="0" t="0" r="18415" b="0"/>
              <wp:wrapNone/>
              <wp:docPr id="1529918637"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91795"/>
                      </a:xfrm>
                      <a:prstGeom prst="rect">
                        <a:avLst/>
                      </a:prstGeom>
                      <a:noFill/>
                      <a:ln>
                        <a:noFill/>
                      </a:ln>
                    </wps:spPr>
                    <wps:txbx>
                      <w:txbxContent>
                        <w:p w14:paraId="5D68046D" w14:textId="7A7EBA10" w:rsidR="00300271" w:rsidRPr="00300271" w:rsidRDefault="00300271" w:rsidP="00300271">
                          <w:pPr>
                            <w:rPr>
                              <w:rFonts w:ascii="Rockwell" w:eastAsia="Rockwell" w:hAnsi="Rockwell" w:cs="Rockwell"/>
                              <w:noProof/>
                              <w:color w:val="0078D7"/>
                              <w:sz w:val="18"/>
                              <w:szCs w:val="18"/>
                            </w:rPr>
                          </w:pPr>
                          <w:r w:rsidRPr="003002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324E4F"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30.8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" filled="f" stroked="f">
              <v:fill o:detectmouseclick="t"/>
              <v:textbox style="mso-fit-shape-to-text:t" inset="20pt,0,0,15pt">
                <w:txbxContent>
                  <w:p w14:paraId="5D68046D" w14:textId="7A7EBA10" w:rsidR="00300271" w:rsidRPr="00300271" w:rsidRDefault="00300271" w:rsidP="00300271">
                    <w:pPr>
                      <w:rPr>
                        <w:rFonts w:ascii="Rockwell" w:eastAsia="Rockwell" w:hAnsi="Rockwell" w:cs="Rockwell"/>
                        <w:noProof/>
                        <w:color w:val="0078D7"/>
                        <w:sz w:val="18"/>
                        <w:szCs w:val="18"/>
                      </w:rPr>
                    </w:pPr>
                    <w:r w:rsidRPr="00300271">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D16040">
      <w:fldChar w:fldCharType="begin"/>
    </w:r>
    <w:r w:rsidR="00D16040">
      <w:instrText>PAGE   \* MERGEFORMAT</w:instrText>
    </w:r>
    <w:r w:rsidR="00D16040">
      <w:fldChar w:fldCharType="separate"/>
    </w:r>
    <w:r w:rsidR="00BF337E" w:rsidRPr="00BF337E">
      <w:rPr>
        <w:noProof/>
        <w:lang w:val="zh-CN"/>
      </w:rPr>
      <w:t>14</w:t>
    </w:r>
    <w:r w:rsidR="00D16040">
      <w:fldChar w:fldCharType="end"/>
    </w:r>
  </w:p>
  <w:p w14:paraId="5427C931" w14:textId="77777777" w:rsidR="00161FFB" w:rsidRDefault="00161F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D9588" w14:textId="5C2CD9BA" w:rsidR="00300271" w:rsidRDefault="00300271">
    <w:pPr>
      <w:pStyle w:val="Footer"/>
    </w:pPr>
    <w:r>
      <w:rPr>
        <w:noProof/>
      </w:rPr>
      <mc:AlternateContent>
        <mc:Choice Requires="wps">
          <w:drawing>
            <wp:anchor distT="0" distB="0" distL="0" distR="0" simplePos="0" relativeHeight="251658240" behindDoc="0" locked="0" layoutInCell="1" allowOverlap="1" wp14:anchorId="3FA99740" wp14:editId="1A5F65A1">
              <wp:simplePos x="635" y="635"/>
              <wp:positionH relativeFrom="page">
                <wp:align>left</wp:align>
              </wp:positionH>
              <wp:positionV relativeFrom="page">
                <wp:align>bottom</wp:align>
              </wp:positionV>
              <wp:extent cx="2077085" cy="391795"/>
              <wp:effectExtent l="0" t="0" r="18415" b="0"/>
              <wp:wrapNone/>
              <wp:docPr id="165842084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91795"/>
                      </a:xfrm>
                      <a:prstGeom prst="rect">
                        <a:avLst/>
                      </a:prstGeom>
                      <a:noFill/>
                      <a:ln>
                        <a:noFill/>
                      </a:ln>
                    </wps:spPr>
                    <wps:txbx>
                      <w:txbxContent>
                        <w:p w14:paraId="5D770393" w14:textId="39D116F6" w:rsidR="00300271" w:rsidRPr="00300271" w:rsidRDefault="00300271" w:rsidP="00300271">
                          <w:pPr>
                            <w:rPr>
                              <w:rFonts w:ascii="Rockwell" w:eastAsia="Rockwell" w:hAnsi="Rockwell" w:cs="Rockwell"/>
                              <w:noProof/>
                              <w:color w:val="0078D7"/>
                              <w:sz w:val="18"/>
                              <w:szCs w:val="18"/>
                            </w:rPr>
                          </w:pPr>
                          <w:r w:rsidRPr="003002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FA99740"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30.8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" filled="f" stroked="f">
              <v:fill o:detectmouseclick="t"/>
              <v:textbox style="mso-fit-shape-to-text:t" inset="20pt,0,0,15pt">
                <w:txbxContent>
                  <w:p w14:paraId="5D770393" w14:textId="39D116F6" w:rsidR="00300271" w:rsidRPr="00300271" w:rsidRDefault="00300271" w:rsidP="00300271">
                    <w:pPr>
                      <w:rPr>
                        <w:rFonts w:ascii="Rockwell" w:eastAsia="Rockwell" w:hAnsi="Rockwell" w:cs="Rockwell"/>
                        <w:noProof/>
                        <w:color w:val="0078D7"/>
                        <w:sz w:val="18"/>
                        <w:szCs w:val="18"/>
                      </w:rPr>
                    </w:pPr>
                    <w:r w:rsidRPr="0030027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64390" w14:textId="77777777" w:rsidR="007D18BC" w:rsidRDefault="007D18BC" w:rsidP="00C230C6">
      <w:pPr>
        <w:spacing w:line="240" w:lineRule="auto"/>
      </w:pPr>
      <w:r>
        <w:separator/>
      </w:r>
    </w:p>
  </w:footnote>
  <w:footnote w:type="continuationSeparator" w:id="0">
    <w:p w14:paraId="457404DF" w14:textId="77777777" w:rsidR="007D18BC" w:rsidRDefault="007D18BC" w:rsidP="00C230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1D90" w14:textId="40680970" w:rsidR="004518EA" w:rsidRDefault="004518EA" w:rsidP="004518EA">
    <w:pPr>
      <w:pStyle w:val="Header"/>
      <w:jc w:val="both"/>
    </w:pPr>
  </w:p>
  <w:p w14:paraId="58080436" w14:textId="77777777" w:rsidR="004518EA" w:rsidRDefault="00451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F2C85"/>
    <w:multiLevelType w:val="multilevel"/>
    <w:tmpl w:val="6D2CB5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17745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tv2tet0tdfriee2e8pwxt82vss9sx5wet9&quot;&gt;My EndNote Library-Saved&lt;record-ids&gt;&lt;item&gt;326&lt;/item&gt;&lt;/record-ids&gt;&lt;/item&gt;&lt;/Libraries&gt;"/>
  </w:docVars>
  <w:rsids>
    <w:rsidRoot w:val="00BA62DD"/>
    <w:rsid w:val="00003021"/>
    <w:rsid w:val="0001501F"/>
    <w:rsid w:val="00016CC4"/>
    <w:rsid w:val="00034185"/>
    <w:rsid w:val="00050FF7"/>
    <w:rsid w:val="00057970"/>
    <w:rsid w:val="00065304"/>
    <w:rsid w:val="00065391"/>
    <w:rsid w:val="000710B3"/>
    <w:rsid w:val="0007705F"/>
    <w:rsid w:val="000802E7"/>
    <w:rsid w:val="000833A2"/>
    <w:rsid w:val="00087CC7"/>
    <w:rsid w:val="00092334"/>
    <w:rsid w:val="00096B7C"/>
    <w:rsid w:val="000A1F3D"/>
    <w:rsid w:val="000A36D7"/>
    <w:rsid w:val="000A6175"/>
    <w:rsid w:val="000A778D"/>
    <w:rsid w:val="000A7C72"/>
    <w:rsid w:val="000B0599"/>
    <w:rsid w:val="000B079D"/>
    <w:rsid w:val="000B11A0"/>
    <w:rsid w:val="000C4819"/>
    <w:rsid w:val="000C5B5C"/>
    <w:rsid w:val="000D6B2A"/>
    <w:rsid w:val="000E0EE1"/>
    <w:rsid w:val="000E2089"/>
    <w:rsid w:val="000E3431"/>
    <w:rsid w:val="000F6F45"/>
    <w:rsid w:val="000F7FF0"/>
    <w:rsid w:val="001052A3"/>
    <w:rsid w:val="00105538"/>
    <w:rsid w:val="0012430F"/>
    <w:rsid w:val="00126984"/>
    <w:rsid w:val="001428FF"/>
    <w:rsid w:val="00146EFA"/>
    <w:rsid w:val="00152A14"/>
    <w:rsid w:val="00161FFB"/>
    <w:rsid w:val="00170C1C"/>
    <w:rsid w:val="00181259"/>
    <w:rsid w:val="00187A71"/>
    <w:rsid w:val="001A41CA"/>
    <w:rsid w:val="001B3A67"/>
    <w:rsid w:val="001D522E"/>
    <w:rsid w:val="001E792B"/>
    <w:rsid w:val="001F0766"/>
    <w:rsid w:val="001F5FB9"/>
    <w:rsid w:val="001F6C6B"/>
    <w:rsid w:val="0020451E"/>
    <w:rsid w:val="00213197"/>
    <w:rsid w:val="002144AA"/>
    <w:rsid w:val="0021624F"/>
    <w:rsid w:val="00231C05"/>
    <w:rsid w:val="0023549A"/>
    <w:rsid w:val="00251C10"/>
    <w:rsid w:val="002748A0"/>
    <w:rsid w:val="002A0C16"/>
    <w:rsid w:val="002A2B3D"/>
    <w:rsid w:val="002A6DFA"/>
    <w:rsid w:val="002B09EE"/>
    <w:rsid w:val="002B651C"/>
    <w:rsid w:val="002C5B83"/>
    <w:rsid w:val="002D3514"/>
    <w:rsid w:val="002D479C"/>
    <w:rsid w:val="002D6BDE"/>
    <w:rsid w:val="002E10E7"/>
    <w:rsid w:val="002F4F01"/>
    <w:rsid w:val="002F646C"/>
    <w:rsid w:val="002F74B0"/>
    <w:rsid w:val="00300271"/>
    <w:rsid w:val="00332EE4"/>
    <w:rsid w:val="00364C65"/>
    <w:rsid w:val="00370476"/>
    <w:rsid w:val="0037296A"/>
    <w:rsid w:val="0037772B"/>
    <w:rsid w:val="0039381F"/>
    <w:rsid w:val="00396168"/>
    <w:rsid w:val="003B72BB"/>
    <w:rsid w:val="003C0C4B"/>
    <w:rsid w:val="003D3E4C"/>
    <w:rsid w:val="003D4629"/>
    <w:rsid w:val="003E522C"/>
    <w:rsid w:val="003F3DEF"/>
    <w:rsid w:val="00422BFF"/>
    <w:rsid w:val="004518EA"/>
    <w:rsid w:val="00465F90"/>
    <w:rsid w:val="00474549"/>
    <w:rsid w:val="00475A20"/>
    <w:rsid w:val="00480508"/>
    <w:rsid w:val="004A5996"/>
    <w:rsid w:val="004A6C96"/>
    <w:rsid w:val="004B60EB"/>
    <w:rsid w:val="004D2AF8"/>
    <w:rsid w:val="004E6961"/>
    <w:rsid w:val="004E6E99"/>
    <w:rsid w:val="004F1663"/>
    <w:rsid w:val="00501919"/>
    <w:rsid w:val="00506A72"/>
    <w:rsid w:val="005111BA"/>
    <w:rsid w:val="00511ED9"/>
    <w:rsid w:val="005157BD"/>
    <w:rsid w:val="0052647F"/>
    <w:rsid w:val="0052771E"/>
    <w:rsid w:val="00532923"/>
    <w:rsid w:val="00533EA0"/>
    <w:rsid w:val="00537D27"/>
    <w:rsid w:val="00551F06"/>
    <w:rsid w:val="005531DD"/>
    <w:rsid w:val="00553715"/>
    <w:rsid w:val="00581559"/>
    <w:rsid w:val="00592AAD"/>
    <w:rsid w:val="005A648F"/>
    <w:rsid w:val="005B4DE2"/>
    <w:rsid w:val="005C2607"/>
    <w:rsid w:val="005E1AA9"/>
    <w:rsid w:val="005E24EC"/>
    <w:rsid w:val="005E3A55"/>
    <w:rsid w:val="005E63FF"/>
    <w:rsid w:val="005F0EE4"/>
    <w:rsid w:val="00622D5E"/>
    <w:rsid w:val="006324F7"/>
    <w:rsid w:val="006355DE"/>
    <w:rsid w:val="00655A89"/>
    <w:rsid w:val="00660CCF"/>
    <w:rsid w:val="00661240"/>
    <w:rsid w:val="006618C5"/>
    <w:rsid w:val="00670465"/>
    <w:rsid w:val="006747CF"/>
    <w:rsid w:val="006B5D4D"/>
    <w:rsid w:val="006B63C9"/>
    <w:rsid w:val="006E5015"/>
    <w:rsid w:val="006E6069"/>
    <w:rsid w:val="006F6455"/>
    <w:rsid w:val="0071111F"/>
    <w:rsid w:val="0071345A"/>
    <w:rsid w:val="007238A9"/>
    <w:rsid w:val="007342D1"/>
    <w:rsid w:val="00754AE8"/>
    <w:rsid w:val="007570CA"/>
    <w:rsid w:val="007714B4"/>
    <w:rsid w:val="0077363B"/>
    <w:rsid w:val="00776E73"/>
    <w:rsid w:val="00780A3B"/>
    <w:rsid w:val="007B339E"/>
    <w:rsid w:val="007B4C5B"/>
    <w:rsid w:val="007C1385"/>
    <w:rsid w:val="007C79A0"/>
    <w:rsid w:val="007D18BC"/>
    <w:rsid w:val="007D1BC2"/>
    <w:rsid w:val="007E2285"/>
    <w:rsid w:val="007E5251"/>
    <w:rsid w:val="007F1B84"/>
    <w:rsid w:val="008116F1"/>
    <w:rsid w:val="0082112C"/>
    <w:rsid w:val="0082179F"/>
    <w:rsid w:val="008370A8"/>
    <w:rsid w:val="00853D0A"/>
    <w:rsid w:val="0087358E"/>
    <w:rsid w:val="008745E1"/>
    <w:rsid w:val="00893609"/>
    <w:rsid w:val="0089599B"/>
    <w:rsid w:val="008B3CE6"/>
    <w:rsid w:val="008B54E7"/>
    <w:rsid w:val="008C6132"/>
    <w:rsid w:val="008D186F"/>
    <w:rsid w:val="008F54AA"/>
    <w:rsid w:val="00900C28"/>
    <w:rsid w:val="009139E4"/>
    <w:rsid w:val="00915F68"/>
    <w:rsid w:val="00950795"/>
    <w:rsid w:val="00950B69"/>
    <w:rsid w:val="00974296"/>
    <w:rsid w:val="009752C5"/>
    <w:rsid w:val="00977007"/>
    <w:rsid w:val="00986883"/>
    <w:rsid w:val="00997D55"/>
    <w:rsid w:val="009A2489"/>
    <w:rsid w:val="009A2E50"/>
    <w:rsid w:val="009C705F"/>
    <w:rsid w:val="009D20E6"/>
    <w:rsid w:val="009D7478"/>
    <w:rsid w:val="009D7700"/>
    <w:rsid w:val="009F1220"/>
    <w:rsid w:val="00A1006C"/>
    <w:rsid w:val="00A11307"/>
    <w:rsid w:val="00A13796"/>
    <w:rsid w:val="00A17ED8"/>
    <w:rsid w:val="00A239D4"/>
    <w:rsid w:val="00A24F3E"/>
    <w:rsid w:val="00A277B5"/>
    <w:rsid w:val="00A344F9"/>
    <w:rsid w:val="00A50BAE"/>
    <w:rsid w:val="00A51211"/>
    <w:rsid w:val="00A54453"/>
    <w:rsid w:val="00A64C51"/>
    <w:rsid w:val="00A654D9"/>
    <w:rsid w:val="00A93856"/>
    <w:rsid w:val="00A96053"/>
    <w:rsid w:val="00AC1B43"/>
    <w:rsid w:val="00AC309E"/>
    <w:rsid w:val="00AC7CA2"/>
    <w:rsid w:val="00AD3013"/>
    <w:rsid w:val="00AE1D48"/>
    <w:rsid w:val="00AE1FC9"/>
    <w:rsid w:val="00AE3FE3"/>
    <w:rsid w:val="00AE62DF"/>
    <w:rsid w:val="00B0680F"/>
    <w:rsid w:val="00B25D8A"/>
    <w:rsid w:val="00B3379B"/>
    <w:rsid w:val="00B42E4F"/>
    <w:rsid w:val="00B67A1D"/>
    <w:rsid w:val="00B72C1C"/>
    <w:rsid w:val="00B808AF"/>
    <w:rsid w:val="00B845E2"/>
    <w:rsid w:val="00B865C0"/>
    <w:rsid w:val="00B93258"/>
    <w:rsid w:val="00B95FD2"/>
    <w:rsid w:val="00BA62DD"/>
    <w:rsid w:val="00BB6D02"/>
    <w:rsid w:val="00BD2034"/>
    <w:rsid w:val="00BD6BCD"/>
    <w:rsid w:val="00BF09BD"/>
    <w:rsid w:val="00BF1251"/>
    <w:rsid w:val="00BF337E"/>
    <w:rsid w:val="00C230C6"/>
    <w:rsid w:val="00C30EE0"/>
    <w:rsid w:val="00C37EEF"/>
    <w:rsid w:val="00C41530"/>
    <w:rsid w:val="00C44B38"/>
    <w:rsid w:val="00C738A6"/>
    <w:rsid w:val="00C831E3"/>
    <w:rsid w:val="00CC400E"/>
    <w:rsid w:val="00CD62FB"/>
    <w:rsid w:val="00CE13FD"/>
    <w:rsid w:val="00CE60E9"/>
    <w:rsid w:val="00CF01FF"/>
    <w:rsid w:val="00CF7434"/>
    <w:rsid w:val="00D02CEB"/>
    <w:rsid w:val="00D04B06"/>
    <w:rsid w:val="00D16040"/>
    <w:rsid w:val="00D229CD"/>
    <w:rsid w:val="00D25CD2"/>
    <w:rsid w:val="00D27B7A"/>
    <w:rsid w:val="00D321B6"/>
    <w:rsid w:val="00D34BAA"/>
    <w:rsid w:val="00D4356D"/>
    <w:rsid w:val="00D52EF4"/>
    <w:rsid w:val="00D56FF5"/>
    <w:rsid w:val="00D835CA"/>
    <w:rsid w:val="00D91C33"/>
    <w:rsid w:val="00D97743"/>
    <w:rsid w:val="00DA16F6"/>
    <w:rsid w:val="00DA216D"/>
    <w:rsid w:val="00DA5335"/>
    <w:rsid w:val="00DA6734"/>
    <w:rsid w:val="00DB2809"/>
    <w:rsid w:val="00DB43B7"/>
    <w:rsid w:val="00DE10C8"/>
    <w:rsid w:val="00DE4C00"/>
    <w:rsid w:val="00DF2F96"/>
    <w:rsid w:val="00DF4590"/>
    <w:rsid w:val="00E1722E"/>
    <w:rsid w:val="00E173A7"/>
    <w:rsid w:val="00E2116C"/>
    <w:rsid w:val="00E2620D"/>
    <w:rsid w:val="00E26837"/>
    <w:rsid w:val="00E34DB5"/>
    <w:rsid w:val="00E37459"/>
    <w:rsid w:val="00E51164"/>
    <w:rsid w:val="00E52F60"/>
    <w:rsid w:val="00E53BB0"/>
    <w:rsid w:val="00E70FEA"/>
    <w:rsid w:val="00E72FD2"/>
    <w:rsid w:val="00E903EF"/>
    <w:rsid w:val="00EA138A"/>
    <w:rsid w:val="00EE3F20"/>
    <w:rsid w:val="00F03DBF"/>
    <w:rsid w:val="00F05260"/>
    <w:rsid w:val="00F077DE"/>
    <w:rsid w:val="00F146B7"/>
    <w:rsid w:val="00F238BD"/>
    <w:rsid w:val="00F26207"/>
    <w:rsid w:val="00F264CB"/>
    <w:rsid w:val="00F35DDC"/>
    <w:rsid w:val="00F35FBD"/>
    <w:rsid w:val="00F4014C"/>
    <w:rsid w:val="00F45075"/>
    <w:rsid w:val="00F47E2D"/>
    <w:rsid w:val="00F61CD4"/>
    <w:rsid w:val="00F70B0C"/>
    <w:rsid w:val="00F8222C"/>
    <w:rsid w:val="00F85537"/>
    <w:rsid w:val="00F91CE6"/>
    <w:rsid w:val="00F9316E"/>
    <w:rsid w:val="00F977AB"/>
    <w:rsid w:val="00FA7402"/>
    <w:rsid w:val="00FB13A7"/>
    <w:rsid w:val="00FD1B51"/>
    <w:rsid w:val="00FE3F0C"/>
    <w:rsid w:val="00FF6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D7FED4"/>
  <w15:docId w15:val="{AD30DF7E-DDD8-4713-8C1F-AE79292FD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0C6"/>
    <w:pPr>
      <w:widowControl w:val="0"/>
      <w:spacing w:after="0" w:line="360" w:lineRule="auto"/>
      <w:jc w:val="both"/>
    </w:pPr>
    <w:rPr>
      <w:rFonts w:ascii="Times New Roman" w:eastAsia="SimSun" w:hAnsi="Times New Roman" w:cs="Times New Roman"/>
      <w:sz w:val="24"/>
      <w:szCs w:val="22"/>
      <w14:ligatures w14:val="none"/>
    </w:rPr>
  </w:style>
  <w:style w:type="paragraph" w:styleId="Heading1">
    <w:name w:val="heading 1"/>
    <w:basedOn w:val="Normal"/>
    <w:next w:val="Normal"/>
    <w:link w:val="Heading1Char"/>
    <w:uiPriority w:val="9"/>
    <w:qFormat/>
    <w:rsid w:val="00BA62DD"/>
    <w:pPr>
      <w:keepNext/>
      <w:keepLines/>
      <w:spacing w:before="480" w:after="80" w:line="278" w:lineRule="auto"/>
      <w:jc w:val="left"/>
      <w:outlineLvl w:val="0"/>
    </w:pPr>
    <w:rPr>
      <w:rFonts w:asciiTheme="majorHAnsi" w:eastAsiaTheme="majorEastAsia" w:hAnsiTheme="majorHAnsi" w:cstheme="majorBidi"/>
      <w:color w:val="0F4761" w:themeColor="accent1" w:themeShade="BF"/>
      <w:sz w:val="48"/>
      <w:szCs w:val="48"/>
      <w14:ligatures w14:val="standardContextual"/>
    </w:rPr>
  </w:style>
  <w:style w:type="paragraph" w:styleId="Heading2">
    <w:name w:val="heading 2"/>
    <w:basedOn w:val="Normal"/>
    <w:next w:val="Normal"/>
    <w:link w:val="Heading2Char"/>
    <w:uiPriority w:val="9"/>
    <w:semiHidden/>
    <w:unhideWhenUsed/>
    <w:qFormat/>
    <w:rsid w:val="00BA62DD"/>
    <w:pPr>
      <w:keepNext/>
      <w:keepLines/>
      <w:spacing w:before="160" w:after="80" w:line="278" w:lineRule="auto"/>
      <w:jc w:val="left"/>
      <w:outlineLvl w:val="1"/>
    </w:pPr>
    <w:rPr>
      <w:rFonts w:asciiTheme="majorHAnsi" w:eastAsiaTheme="majorEastAsia" w:hAnsiTheme="majorHAnsi" w:cstheme="majorBidi"/>
      <w:color w:val="0F4761" w:themeColor="accent1" w:themeShade="BF"/>
      <w:sz w:val="40"/>
      <w:szCs w:val="40"/>
      <w14:ligatures w14:val="standardContextual"/>
    </w:rPr>
  </w:style>
  <w:style w:type="paragraph" w:styleId="Heading3">
    <w:name w:val="heading 3"/>
    <w:basedOn w:val="Normal"/>
    <w:next w:val="Normal"/>
    <w:link w:val="Heading3Char"/>
    <w:uiPriority w:val="9"/>
    <w:semiHidden/>
    <w:unhideWhenUsed/>
    <w:qFormat/>
    <w:rsid w:val="00BA62DD"/>
    <w:pPr>
      <w:keepNext/>
      <w:keepLines/>
      <w:spacing w:before="160" w:after="80" w:line="278" w:lineRule="auto"/>
      <w:jc w:val="left"/>
      <w:outlineLvl w:val="2"/>
    </w:pPr>
    <w:rPr>
      <w:rFonts w:asciiTheme="majorHAnsi" w:eastAsiaTheme="majorEastAsia" w:hAnsiTheme="majorHAnsi" w:cstheme="majorBidi"/>
      <w:color w:val="0F4761" w:themeColor="accent1" w:themeShade="BF"/>
      <w:sz w:val="32"/>
      <w:szCs w:val="32"/>
      <w14:ligatures w14:val="standardContextual"/>
    </w:rPr>
  </w:style>
  <w:style w:type="paragraph" w:styleId="Heading4">
    <w:name w:val="heading 4"/>
    <w:basedOn w:val="Normal"/>
    <w:next w:val="Normal"/>
    <w:link w:val="Heading4Char"/>
    <w:uiPriority w:val="9"/>
    <w:semiHidden/>
    <w:unhideWhenUsed/>
    <w:qFormat/>
    <w:rsid w:val="00BA62DD"/>
    <w:pPr>
      <w:keepNext/>
      <w:keepLines/>
      <w:spacing w:before="80" w:after="40" w:line="278" w:lineRule="auto"/>
      <w:jc w:val="left"/>
      <w:outlineLvl w:val="3"/>
    </w:pPr>
    <w:rPr>
      <w:rFonts w:asciiTheme="minorHAnsi" w:eastAsiaTheme="minorEastAsia" w:hAnsiTheme="minorHAnsi" w:cstheme="majorBidi"/>
      <w:color w:val="0F4761" w:themeColor="accent1" w:themeShade="BF"/>
      <w:sz w:val="28"/>
      <w:szCs w:val="28"/>
      <w14:ligatures w14:val="standardContextual"/>
    </w:rPr>
  </w:style>
  <w:style w:type="paragraph" w:styleId="Heading5">
    <w:name w:val="heading 5"/>
    <w:basedOn w:val="Normal"/>
    <w:next w:val="Normal"/>
    <w:link w:val="Heading5Char"/>
    <w:uiPriority w:val="9"/>
    <w:semiHidden/>
    <w:unhideWhenUsed/>
    <w:qFormat/>
    <w:rsid w:val="00BA62DD"/>
    <w:pPr>
      <w:keepNext/>
      <w:keepLines/>
      <w:spacing w:before="80" w:after="40" w:line="278" w:lineRule="auto"/>
      <w:jc w:val="left"/>
      <w:outlineLvl w:val="4"/>
    </w:pPr>
    <w:rPr>
      <w:rFonts w:asciiTheme="minorHAnsi" w:eastAsiaTheme="minorEastAsia" w:hAnsiTheme="minorHAnsi" w:cstheme="majorBidi"/>
      <w:color w:val="0F4761" w:themeColor="accent1" w:themeShade="BF"/>
      <w:szCs w:val="24"/>
      <w14:ligatures w14:val="standardContextual"/>
    </w:rPr>
  </w:style>
  <w:style w:type="paragraph" w:styleId="Heading6">
    <w:name w:val="heading 6"/>
    <w:basedOn w:val="Normal"/>
    <w:next w:val="Normal"/>
    <w:link w:val="Heading6Char"/>
    <w:uiPriority w:val="9"/>
    <w:semiHidden/>
    <w:unhideWhenUsed/>
    <w:qFormat/>
    <w:rsid w:val="00BA62DD"/>
    <w:pPr>
      <w:keepNext/>
      <w:keepLines/>
      <w:spacing w:before="40" w:line="278" w:lineRule="auto"/>
      <w:jc w:val="left"/>
      <w:outlineLvl w:val="5"/>
    </w:pPr>
    <w:rPr>
      <w:rFonts w:asciiTheme="minorHAnsi" w:eastAsiaTheme="minorEastAsia" w:hAnsiTheme="minorHAnsi" w:cstheme="majorBidi"/>
      <w:b/>
      <w:bCs/>
      <w:color w:val="0F4761" w:themeColor="accent1" w:themeShade="BF"/>
      <w:sz w:val="22"/>
      <w:szCs w:val="24"/>
      <w14:ligatures w14:val="standardContextual"/>
    </w:rPr>
  </w:style>
  <w:style w:type="paragraph" w:styleId="Heading7">
    <w:name w:val="heading 7"/>
    <w:basedOn w:val="Normal"/>
    <w:next w:val="Normal"/>
    <w:link w:val="Heading7Char"/>
    <w:uiPriority w:val="9"/>
    <w:semiHidden/>
    <w:unhideWhenUsed/>
    <w:qFormat/>
    <w:rsid w:val="00BA62DD"/>
    <w:pPr>
      <w:keepNext/>
      <w:keepLines/>
      <w:spacing w:before="40" w:line="278" w:lineRule="auto"/>
      <w:jc w:val="left"/>
      <w:outlineLvl w:val="6"/>
    </w:pPr>
    <w:rPr>
      <w:rFonts w:asciiTheme="minorHAnsi" w:eastAsiaTheme="minorEastAsia" w:hAnsiTheme="minorHAnsi" w:cstheme="majorBidi"/>
      <w:b/>
      <w:bCs/>
      <w:color w:val="595959" w:themeColor="text1" w:themeTint="A6"/>
      <w:sz w:val="22"/>
      <w:szCs w:val="24"/>
      <w14:ligatures w14:val="standardContextual"/>
    </w:rPr>
  </w:style>
  <w:style w:type="paragraph" w:styleId="Heading8">
    <w:name w:val="heading 8"/>
    <w:basedOn w:val="Normal"/>
    <w:next w:val="Normal"/>
    <w:link w:val="Heading8Char"/>
    <w:uiPriority w:val="9"/>
    <w:semiHidden/>
    <w:unhideWhenUsed/>
    <w:qFormat/>
    <w:rsid w:val="00BA62DD"/>
    <w:pPr>
      <w:keepNext/>
      <w:keepLines/>
      <w:spacing w:line="278" w:lineRule="auto"/>
      <w:jc w:val="left"/>
      <w:outlineLvl w:val="7"/>
    </w:pPr>
    <w:rPr>
      <w:rFonts w:asciiTheme="minorHAnsi" w:eastAsiaTheme="minorEastAsia" w:hAnsiTheme="minorHAnsi" w:cstheme="majorBidi"/>
      <w:color w:val="595959" w:themeColor="text1" w:themeTint="A6"/>
      <w:sz w:val="22"/>
      <w:szCs w:val="24"/>
      <w14:ligatures w14:val="standardContextual"/>
    </w:rPr>
  </w:style>
  <w:style w:type="paragraph" w:styleId="Heading9">
    <w:name w:val="heading 9"/>
    <w:basedOn w:val="Normal"/>
    <w:next w:val="Normal"/>
    <w:link w:val="Heading9Char"/>
    <w:uiPriority w:val="9"/>
    <w:semiHidden/>
    <w:unhideWhenUsed/>
    <w:qFormat/>
    <w:rsid w:val="00BA62DD"/>
    <w:pPr>
      <w:keepNext/>
      <w:keepLines/>
      <w:spacing w:line="278" w:lineRule="auto"/>
      <w:jc w:val="left"/>
      <w:outlineLvl w:val="8"/>
    </w:pPr>
    <w:rPr>
      <w:rFonts w:asciiTheme="minorHAnsi" w:eastAsiaTheme="majorEastAsia" w:hAnsiTheme="minorHAnsi" w:cstheme="majorBidi"/>
      <w:color w:val="595959" w:themeColor="text1" w:themeTint="A6"/>
      <w:sz w:val="2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2DD"/>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BA62DD"/>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BA62DD"/>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BA62DD"/>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BA62DD"/>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BA62DD"/>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BA62DD"/>
    <w:rPr>
      <w:rFonts w:cstheme="majorBidi"/>
      <w:b/>
      <w:bCs/>
      <w:color w:val="595959" w:themeColor="text1" w:themeTint="A6"/>
    </w:rPr>
  </w:style>
  <w:style w:type="character" w:customStyle="1" w:styleId="Heading8Char">
    <w:name w:val="Heading 8 Char"/>
    <w:basedOn w:val="DefaultParagraphFont"/>
    <w:link w:val="Heading8"/>
    <w:uiPriority w:val="9"/>
    <w:semiHidden/>
    <w:rsid w:val="00BA62DD"/>
    <w:rPr>
      <w:rFonts w:cstheme="majorBidi"/>
      <w:color w:val="595959" w:themeColor="text1" w:themeTint="A6"/>
    </w:rPr>
  </w:style>
  <w:style w:type="character" w:customStyle="1" w:styleId="Heading9Char">
    <w:name w:val="Heading 9 Char"/>
    <w:basedOn w:val="DefaultParagraphFont"/>
    <w:link w:val="Heading9"/>
    <w:uiPriority w:val="9"/>
    <w:semiHidden/>
    <w:rsid w:val="00BA62DD"/>
    <w:rPr>
      <w:rFonts w:eastAsiaTheme="majorEastAsia" w:cstheme="majorBidi"/>
      <w:color w:val="595959" w:themeColor="text1" w:themeTint="A6"/>
    </w:rPr>
  </w:style>
  <w:style w:type="paragraph" w:styleId="Title">
    <w:name w:val="Title"/>
    <w:basedOn w:val="Normal"/>
    <w:next w:val="Normal"/>
    <w:link w:val="TitleChar"/>
    <w:uiPriority w:val="10"/>
    <w:qFormat/>
    <w:rsid w:val="00BA62DD"/>
    <w:pPr>
      <w:spacing w:after="80" w:line="240" w:lineRule="auto"/>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A62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62DD"/>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BA62DD"/>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BA62DD"/>
    <w:pPr>
      <w:spacing w:before="160" w:after="160" w:line="278" w:lineRule="auto"/>
      <w:jc w:val="center"/>
    </w:pPr>
    <w:rPr>
      <w:rFonts w:asciiTheme="minorHAnsi" w:eastAsiaTheme="minorEastAsia" w:hAnsiTheme="minorHAnsi" w:cstheme="minorBidi"/>
      <w:i/>
      <w:iCs/>
      <w:color w:val="404040" w:themeColor="text1" w:themeTint="BF"/>
      <w:sz w:val="22"/>
      <w:szCs w:val="24"/>
      <w14:ligatures w14:val="standardContextual"/>
    </w:rPr>
  </w:style>
  <w:style w:type="character" w:customStyle="1" w:styleId="QuoteChar">
    <w:name w:val="Quote Char"/>
    <w:basedOn w:val="DefaultParagraphFont"/>
    <w:link w:val="Quote"/>
    <w:uiPriority w:val="29"/>
    <w:rsid w:val="00BA62DD"/>
    <w:rPr>
      <w:i/>
      <w:iCs/>
      <w:color w:val="404040" w:themeColor="text1" w:themeTint="BF"/>
    </w:rPr>
  </w:style>
  <w:style w:type="paragraph" w:styleId="ListParagraph">
    <w:name w:val="List Paragraph"/>
    <w:basedOn w:val="Normal"/>
    <w:uiPriority w:val="34"/>
    <w:qFormat/>
    <w:rsid w:val="00BA62DD"/>
    <w:pPr>
      <w:spacing w:after="160" w:line="278" w:lineRule="auto"/>
      <w:ind w:left="720"/>
      <w:contextualSpacing/>
      <w:jc w:val="left"/>
    </w:pPr>
    <w:rPr>
      <w:rFonts w:asciiTheme="minorHAnsi" w:eastAsiaTheme="minorEastAsia" w:hAnsiTheme="minorHAnsi" w:cstheme="minorBidi"/>
      <w:sz w:val="22"/>
      <w:szCs w:val="24"/>
      <w14:ligatures w14:val="standardContextual"/>
    </w:rPr>
  </w:style>
  <w:style w:type="character" w:styleId="IntenseEmphasis">
    <w:name w:val="Intense Emphasis"/>
    <w:basedOn w:val="DefaultParagraphFont"/>
    <w:uiPriority w:val="21"/>
    <w:qFormat/>
    <w:rsid w:val="00BA62DD"/>
    <w:rPr>
      <w:i/>
      <w:iCs/>
      <w:color w:val="0F4761" w:themeColor="accent1" w:themeShade="BF"/>
    </w:rPr>
  </w:style>
  <w:style w:type="paragraph" w:styleId="IntenseQuote">
    <w:name w:val="Intense Quote"/>
    <w:basedOn w:val="Normal"/>
    <w:next w:val="Normal"/>
    <w:link w:val="IntenseQuoteChar"/>
    <w:uiPriority w:val="30"/>
    <w:qFormat/>
    <w:rsid w:val="00BA62D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sz w:val="22"/>
      <w:szCs w:val="24"/>
      <w14:ligatures w14:val="standardContextual"/>
    </w:rPr>
  </w:style>
  <w:style w:type="character" w:customStyle="1" w:styleId="IntenseQuoteChar">
    <w:name w:val="Intense Quote Char"/>
    <w:basedOn w:val="DefaultParagraphFont"/>
    <w:link w:val="IntenseQuote"/>
    <w:uiPriority w:val="30"/>
    <w:rsid w:val="00BA62DD"/>
    <w:rPr>
      <w:i/>
      <w:iCs/>
      <w:color w:val="0F4761" w:themeColor="accent1" w:themeShade="BF"/>
    </w:rPr>
  </w:style>
  <w:style w:type="character" w:styleId="IntenseReference">
    <w:name w:val="Intense Reference"/>
    <w:basedOn w:val="DefaultParagraphFont"/>
    <w:uiPriority w:val="32"/>
    <w:qFormat/>
    <w:rsid w:val="00BA62DD"/>
    <w:rPr>
      <w:b/>
      <w:bCs/>
      <w:smallCaps/>
      <w:color w:val="0F4761" w:themeColor="accent1" w:themeShade="BF"/>
      <w:spacing w:val="5"/>
    </w:rPr>
  </w:style>
  <w:style w:type="paragraph" w:styleId="Header">
    <w:name w:val="header"/>
    <w:basedOn w:val="Normal"/>
    <w:link w:val="HeaderChar"/>
    <w:uiPriority w:val="99"/>
    <w:unhideWhenUsed/>
    <w:rsid w:val="00C230C6"/>
    <w:pPr>
      <w:tabs>
        <w:tab w:val="center" w:pos="4153"/>
        <w:tab w:val="right" w:pos="8306"/>
      </w:tabs>
      <w:snapToGrid w:val="0"/>
      <w:spacing w:after="160" w:line="240" w:lineRule="auto"/>
      <w:jc w:val="center"/>
    </w:pPr>
    <w:rPr>
      <w:rFonts w:asciiTheme="minorHAnsi" w:eastAsiaTheme="minorEastAsia" w:hAnsiTheme="minorHAnsi" w:cstheme="minorBidi"/>
      <w:sz w:val="18"/>
      <w:szCs w:val="18"/>
      <w14:ligatures w14:val="standardContextual"/>
    </w:rPr>
  </w:style>
  <w:style w:type="character" w:customStyle="1" w:styleId="HeaderChar">
    <w:name w:val="Header Char"/>
    <w:basedOn w:val="DefaultParagraphFont"/>
    <w:link w:val="Header"/>
    <w:uiPriority w:val="99"/>
    <w:rsid w:val="00C230C6"/>
    <w:rPr>
      <w:sz w:val="18"/>
      <w:szCs w:val="18"/>
    </w:rPr>
  </w:style>
  <w:style w:type="paragraph" w:styleId="Footer">
    <w:name w:val="footer"/>
    <w:basedOn w:val="Normal"/>
    <w:link w:val="FooterChar"/>
    <w:uiPriority w:val="99"/>
    <w:unhideWhenUsed/>
    <w:rsid w:val="00C230C6"/>
    <w:pPr>
      <w:tabs>
        <w:tab w:val="center" w:pos="4153"/>
        <w:tab w:val="right" w:pos="8306"/>
      </w:tabs>
      <w:snapToGrid w:val="0"/>
      <w:spacing w:after="160" w:line="240" w:lineRule="auto"/>
      <w:jc w:val="left"/>
    </w:pPr>
    <w:rPr>
      <w:rFonts w:asciiTheme="minorHAnsi" w:eastAsiaTheme="minorEastAsia" w:hAnsiTheme="minorHAnsi" w:cstheme="minorBidi"/>
      <w:sz w:val="18"/>
      <w:szCs w:val="18"/>
      <w14:ligatures w14:val="standardContextual"/>
    </w:rPr>
  </w:style>
  <w:style w:type="character" w:customStyle="1" w:styleId="FooterChar">
    <w:name w:val="Footer Char"/>
    <w:basedOn w:val="DefaultParagraphFont"/>
    <w:link w:val="Footer"/>
    <w:uiPriority w:val="99"/>
    <w:rsid w:val="00C230C6"/>
    <w:rPr>
      <w:sz w:val="18"/>
      <w:szCs w:val="18"/>
    </w:rPr>
  </w:style>
  <w:style w:type="table" w:styleId="TableGrid">
    <w:name w:val="Table Grid"/>
    <w:basedOn w:val="TableNormal"/>
    <w:uiPriority w:val="39"/>
    <w:qFormat/>
    <w:rsid w:val="00C230C6"/>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465F90"/>
    <w:pPr>
      <w:jc w:val="center"/>
    </w:pPr>
    <w:rPr>
      <w:noProof/>
    </w:rPr>
  </w:style>
  <w:style w:type="character" w:customStyle="1" w:styleId="EndNoteBibliographyTitle0">
    <w:name w:val="EndNote Bibliography Title 字符"/>
    <w:basedOn w:val="DefaultParagraphFont"/>
    <w:link w:val="EndNoteBibliographyTitle"/>
    <w:rsid w:val="00465F90"/>
    <w:rPr>
      <w:rFonts w:ascii="Times New Roman" w:eastAsia="SimSun" w:hAnsi="Times New Roman" w:cs="Times New Roman"/>
      <w:noProof/>
      <w:sz w:val="24"/>
      <w:szCs w:val="22"/>
      <w14:ligatures w14:val="none"/>
    </w:rPr>
  </w:style>
  <w:style w:type="paragraph" w:customStyle="1" w:styleId="EndNoteBibliography">
    <w:name w:val="EndNote Bibliography"/>
    <w:basedOn w:val="Normal"/>
    <w:link w:val="EndNoteBibliography0"/>
    <w:rsid w:val="00465F90"/>
    <w:pPr>
      <w:spacing w:line="240" w:lineRule="auto"/>
    </w:pPr>
    <w:rPr>
      <w:noProof/>
    </w:rPr>
  </w:style>
  <w:style w:type="character" w:customStyle="1" w:styleId="EndNoteBibliography0">
    <w:name w:val="EndNote Bibliography 字符"/>
    <w:basedOn w:val="DefaultParagraphFont"/>
    <w:link w:val="EndNoteBibliography"/>
    <w:rsid w:val="00465F90"/>
    <w:rPr>
      <w:rFonts w:ascii="Times New Roman" w:eastAsia="SimSun" w:hAnsi="Times New Roman" w:cs="Times New Roman"/>
      <w:noProof/>
      <w:sz w:val="24"/>
      <w:szCs w:val="22"/>
      <w14:ligatures w14:val="none"/>
    </w:rPr>
  </w:style>
  <w:style w:type="character" w:styleId="CommentReference">
    <w:name w:val="annotation reference"/>
    <w:basedOn w:val="DefaultParagraphFont"/>
    <w:uiPriority w:val="99"/>
    <w:semiHidden/>
    <w:unhideWhenUsed/>
    <w:rsid w:val="00A13796"/>
    <w:rPr>
      <w:sz w:val="21"/>
      <w:szCs w:val="21"/>
    </w:rPr>
  </w:style>
  <w:style w:type="paragraph" w:styleId="CommentText">
    <w:name w:val="annotation text"/>
    <w:basedOn w:val="Normal"/>
    <w:link w:val="CommentTextChar"/>
    <w:uiPriority w:val="99"/>
    <w:semiHidden/>
    <w:unhideWhenUsed/>
    <w:rsid w:val="00A13796"/>
    <w:pPr>
      <w:jc w:val="left"/>
    </w:pPr>
  </w:style>
  <w:style w:type="character" w:customStyle="1" w:styleId="CommentTextChar">
    <w:name w:val="Comment Text Char"/>
    <w:basedOn w:val="DefaultParagraphFont"/>
    <w:link w:val="CommentText"/>
    <w:uiPriority w:val="99"/>
    <w:semiHidden/>
    <w:rsid w:val="00A13796"/>
    <w:rPr>
      <w:rFonts w:ascii="Times New Roman" w:eastAsia="SimSun" w:hAnsi="Times New Roman" w:cs="Times New Roman"/>
      <w:sz w:val="24"/>
      <w:szCs w:val="22"/>
      <w14:ligatures w14:val="none"/>
    </w:rPr>
  </w:style>
  <w:style w:type="paragraph" w:styleId="CommentSubject">
    <w:name w:val="annotation subject"/>
    <w:basedOn w:val="CommentText"/>
    <w:next w:val="CommentText"/>
    <w:link w:val="CommentSubjectChar"/>
    <w:uiPriority w:val="99"/>
    <w:semiHidden/>
    <w:unhideWhenUsed/>
    <w:rsid w:val="00A13796"/>
    <w:rPr>
      <w:b/>
      <w:bCs/>
    </w:rPr>
  </w:style>
  <w:style w:type="character" w:customStyle="1" w:styleId="CommentSubjectChar">
    <w:name w:val="Comment Subject Char"/>
    <w:basedOn w:val="CommentTextChar"/>
    <w:link w:val="CommentSubject"/>
    <w:uiPriority w:val="99"/>
    <w:semiHidden/>
    <w:rsid w:val="00A13796"/>
    <w:rPr>
      <w:rFonts w:ascii="Times New Roman" w:eastAsia="SimSun" w:hAnsi="Times New Roman" w:cs="Times New Roman"/>
      <w:b/>
      <w:bCs/>
      <w:sz w:val="24"/>
      <w:szCs w:val="22"/>
      <w14:ligatures w14:val="none"/>
    </w:rPr>
  </w:style>
  <w:style w:type="paragraph" w:styleId="BalloonText">
    <w:name w:val="Balloon Text"/>
    <w:basedOn w:val="Normal"/>
    <w:link w:val="BalloonTextChar"/>
    <w:uiPriority w:val="99"/>
    <w:semiHidden/>
    <w:unhideWhenUsed/>
    <w:rsid w:val="00A13796"/>
    <w:pPr>
      <w:spacing w:line="240" w:lineRule="auto"/>
    </w:pPr>
    <w:rPr>
      <w:sz w:val="16"/>
      <w:szCs w:val="16"/>
    </w:rPr>
  </w:style>
  <w:style w:type="character" w:customStyle="1" w:styleId="BalloonTextChar">
    <w:name w:val="Balloon Text Char"/>
    <w:basedOn w:val="DefaultParagraphFont"/>
    <w:link w:val="BalloonText"/>
    <w:uiPriority w:val="99"/>
    <w:semiHidden/>
    <w:rsid w:val="00A13796"/>
    <w:rPr>
      <w:rFonts w:ascii="Times New Roman" w:eastAsia="SimSun" w:hAnsi="Times New Roman" w:cs="Times New Roman"/>
      <w:sz w:val="16"/>
      <w:szCs w:val="16"/>
      <w14:ligatures w14:val="none"/>
    </w:rPr>
  </w:style>
  <w:style w:type="paragraph" w:customStyle="1" w:styleId="Title2">
    <w:name w:val="Title2"/>
    <w:basedOn w:val="Normal"/>
    <w:rsid w:val="00065391"/>
    <w:pPr>
      <w:widowControl/>
      <w:spacing w:line="240" w:lineRule="auto"/>
      <w:jc w:val="left"/>
    </w:pPr>
    <w:rPr>
      <w:rFonts w:eastAsia="MS Mincho"/>
      <w:b/>
      <w:kern w:val="0"/>
      <w:szCs w:val="24"/>
      <w:lang w:eastAsia="ja-JP"/>
    </w:rPr>
  </w:style>
  <w:style w:type="paragraph" w:customStyle="1" w:styleId="AuthorsFull">
    <w:name w:val="Authors Full"/>
    <w:basedOn w:val="Normal"/>
    <w:rsid w:val="00065391"/>
    <w:pPr>
      <w:widowControl/>
      <w:spacing w:line="240" w:lineRule="auto"/>
      <w:jc w:val="left"/>
    </w:pPr>
    <w:rPr>
      <w:rFonts w:eastAsia="MS Mincho"/>
      <w:i/>
      <w:kern w:val="0"/>
      <w:szCs w:val="24"/>
      <w:lang w:eastAsia="ja-JP"/>
    </w:rPr>
  </w:style>
  <w:style w:type="character" w:styleId="Hyperlink">
    <w:name w:val="Hyperlink"/>
    <w:uiPriority w:val="99"/>
    <w:unhideWhenUsed/>
    <w:rsid w:val="00065391"/>
    <w:rPr>
      <w:color w:val="0000FF"/>
      <w:u w:val="single"/>
    </w:rPr>
  </w:style>
  <w:style w:type="character" w:styleId="UnresolvedMention">
    <w:name w:val="Unresolved Mention"/>
    <w:basedOn w:val="DefaultParagraphFont"/>
    <w:uiPriority w:val="99"/>
    <w:semiHidden/>
    <w:unhideWhenUsed/>
    <w:rsid w:val="00DB43B7"/>
    <w:rPr>
      <w:color w:val="605E5C"/>
      <w:shd w:val="clear" w:color="auto" w:fill="E1DFDD"/>
    </w:rPr>
  </w:style>
  <w:style w:type="character" w:styleId="LineNumber">
    <w:name w:val="line number"/>
    <w:basedOn w:val="DefaultParagraphFont"/>
    <w:uiPriority w:val="99"/>
    <w:semiHidden/>
    <w:unhideWhenUsed/>
    <w:rsid w:val="007B4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tif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Shark</dc:creator>
  <cp:lastModifiedBy>Lee, Boon</cp:lastModifiedBy>
  <cp:revision>2</cp:revision>
  <dcterms:created xsi:type="dcterms:W3CDTF">2025-09-15T21:52:00Z</dcterms:created>
  <dcterms:modified xsi:type="dcterms:W3CDTF">2025-09-15T21:52:00Z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62d97e6e,823cf9d,5b30b4ad</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2025-09-15T21:52:26Z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3fa464bd-a1d1-4519-b659-b563233a9daf</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