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89ABA9" w14:textId="778CC4CE" w:rsidR="0073788F" w:rsidRPr="007E3AD3" w:rsidRDefault="0073788F" w:rsidP="0073788F">
      <w:pPr>
        <w:autoSpaceDE w:val="0"/>
        <w:autoSpaceDN w:val="0"/>
        <w:adjustRightInd w:val="0"/>
        <w:spacing w:line="400" w:lineRule="atLeast"/>
        <w:jc w:val="center"/>
        <w:rPr>
          <w:rFonts w:ascii="Arial" w:eastAsia="等线" w:hAnsi="Arial" w:cs="Arial"/>
          <w:b/>
          <w:bCs/>
          <w:color w:val="000000"/>
          <w:kern w:val="0"/>
          <w:sz w:val="28"/>
          <w:szCs w:val="28"/>
        </w:rPr>
      </w:pPr>
      <w:r w:rsidRPr="0073788F">
        <w:rPr>
          <w:rFonts w:ascii="Arial" w:eastAsia="等线" w:hAnsi="Arial" w:cs="Arial"/>
          <w:b/>
          <w:bCs/>
          <w:color w:val="000000"/>
          <w:kern w:val="0"/>
          <w:sz w:val="28"/>
          <w:szCs w:val="28"/>
        </w:rPr>
        <w:t>Supplementary materials</w:t>
      </w:r>
    </w:p>
    <w:p w14:paraId="56DE28C2" w14:textId="0E2494EE" w:rsidR="0073788F" w:rsidRDefault="00357E7F">
      <w:r>
        <w:rPr>
          <w:noProof/>
        </w:rPr>
        <w:drawing>
          <wp:inline distT="0" distB="0" distL="0" distR="0" wp14:anchorId="2C722709" wp14:editId="12C3B8A5">
            <wp:extent cx="5274310" cy="7880985"/>
            <wp:effectExtent l="0" t="0" r="2540" b="5715"/>
            <wp:docPr id="3903695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369565" name="图片 390369565"/>
                    <pic:cNvPicPr/>
                  </pic:nvPicPr>
                  <pic:blipFill>
                    <a:blip r:embed="rId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05033" w14:textId="1CFE9D28" w:rsidR="00A6354E" w:rsidRDefault="00B970CC" w:rsidP="00A04503">
      <w:pPr>
        <w:spacing w:line="480" w:lineRule="auto"/>
        <w:rPr>
          <w:rFonts w:ascii="Arial" w:hAnsi="Arial" w:cs="Arial"/>
          <w:sz w:val="20"/>
          <w:szCs w:val="20"/>
        </w:rPr>
      </w:pPr>
      <w:r w:rsidRPr="00B970CC">
        <w:rPr>
          <w:rFonts w:ascii="Arial" w:hAnsi="Arial" w:cs="Arial"/>
          <w:b/>
          <w:bCs/>
          <w:sz w:val="20"/>
          <w:szCs w:val="20"/>
        </w:rPr>
        <w:t>Supplementary</w:t>
      </w:r>
      <w:r>
        <w:rPr>
          <w:rFonts w:ascii="Arial" w:hAnsi="Arial" w:cs="Arial" w:hint="eastAsia"/>
          <w:b/>
          <w:bCs/>
          <w:sz w:val="20"/>
          <w:szCs w:val="20"/>
        </w:rPr>
        <w:t xml:space="preserve"> </w:t>
      </w:r>
      <w:r w:rsidR="00A04503" w:rsidRPr="0050015C">
        <w:rPr>
          <w:rFonts w:ascii="Arial" w:hAnsi="Arial" w:cs="Arial"/>
          <w:b/>
          <w:bCs/>
          <w:sz w:val="20"/>
          <w:szCs w:val="20"/>
        </w:rPr>
        <w:t>Figure 1. Analysis of the integrated data and cell cluster information.</w:t>
      </w:r>
      <w:r w:rsidR="00A04503" w:rsidRPr="0050015C">
        <w:rPr>
          <w:rFonts w:ascii="Arial" w:hAnsi="Arial" w:cs="Arial"/>
          <w:sz w:val="20"/>
          <w:szCs w:val="20"/>
        </w:rPr>
        <w:t xml:space="preserve"> </w:t>
      </w:r>
      <w:r w:rsidR="00A04503" w:rsidRPr="0050015C">
        <w:rPr>
          <w:rFonts w:ascii="Arial" w:hAnsi="Arial" w:cs="Arial"/>
          <w:b/>
          <w:bCs/>
          <w:sz w:val="20"/>
          <w:szCs w:val="20"/>
        </w:rPr>
        <w:t>(A-</w:t>
      </w:r>
      <w:r w:rsidR="00A04503" w:rsidRPr="0050015C">
        <w:rPr>
          <w:rFonts w:ascii="Arial" w:hAnsi="Arial" w:cs="Arial"/>
          <w:b/>
          <w:bCs/>
          <w:sz w:val="20"/>
          <w:szCs w:val="20"/>
        </w:rPr>
        <w:lastRenderedPageBreak/>
        <w:t>D)</w:t>
      </w:r>
      <w:r w:rsidR="00A04503" w:rsidRPr="0050015C">
        <w:rPr>
          <w:rFonts w:ascii="Arial" w:hAnsi="Arial" w:cs="Arial"/>
          <w:sz w:val="20"/>
          <w:szCs w:val="20"/>
        </w:rPr>
        <w:t xml:space="preserve"> Overview of the stringent data quality control process. </w:t>
      </w:r>
      <w:r w:rsidR="00A04503" w:rsidRPr="0050015C">
        <w:rPr>
          <w:rFonts w:ascii="Arial" w:hAnsi="Arial" w:cs="Arial"/>
          <w:b/>
          <w:bCs/>
          <w:sz w:val="20"/>
          <w:szCs w:val="20"/>
        </w:rPr>
        <w:t>(E)</w:t>
      </w:r>
      <w:r w:rsidR="00A04503" w:rsidRPr="0050015C">
        <w:rPr>
          <w:rFonts w:ascii="Arial" w:hAnsi="Arial" w:cs="Arial"/>
          <w:sz w:val="20"/>
          <w:szCs w:val="20"/>
        </w:rPr>
        <w:t xml:space="preserve"> UMAP visualization representing 89,960 cells derived from 40 samples. </w:t>
      </w:r>
      <w:r w:rsidR="00A04503" w:rsidRPr="0050015C">
        <w:rPr>
          <w:rFonts w:ascii="Arial" w:hAnsi="Arial" w:cs="Arial"/>
          <w:b/>
          <w:bCs/>
          <w:sz w:val="20"/>
          <w:szCs w:val="20"/>
        </w:rPr>
        <w:t>(F)</w:t>
      </w:r>
      <w:r w:rsidR="00A04503" w:rsidRPr="0050015C">
        <w:rPr>
          <w:rFonts w:ascii="Arial" w:hAnsi="Arial" w:cs="Arial"/>
          <w:sz w:val="20"/>
          <w:szCs w:val="20"/>
        </w:rPr>
        <w:t xml:space="preserve"> UMAP plots illustrating the expression levels of selected marker genes across unsorted cells. </w:t>
      </w:r>
      <w:r w:rsidR="00A04503" w:rsidRPr="0050015C">
        <w:rPr>
          <w:rFonts w:ascii="Arial" w:hAnsi="Arial" w:cs="Arial"/>
          <w:b/>
          <w:bCs/>
          <w:sz w:val="20"/>
          <w:szCs w:val="20"/>
        </w:rPr>
        <w:t>(G)</w:t>
      </w:r>
      <w:r w:rsidR="00A04503" w:rsidRPr="0050015C">
        <w:rPr>
          <w:rFonts w:ascii="Arial" w:hAnsi="Arial" w:cs="Arial"/>
          <w:sz w:val="20"/>
          <w:szCs w:val="20"/>
        </w:rPr>
        <w:t xml:space="preserve"> Dot plot showing the expression of marker genes in the specified cell clusters; the size of each dot indicates the percentage of genes expressed in each cluster, while the color represents the average expression level. </w:t>
      </w:r>
      <w:r w:rsidR="00A04503" w:rsidRPr="0050015C">
        <w:rPr>
          <w:rFonts w:ascii="Arial" w:hAnsi="Arial" w:cs="Arial"/>
          <w:b/>
          <w:bCs/>
          <w:sz w:val="20"/>
          <w:szCs w:val="20"/>
        </w:rPr>
        <w:t>(H)</w:t>
      </w:r>
      <w:r w:rsidR="00A04503" w:rsidRPr="0050015C">
        <w:rPr>
          <w:rFonts w:ascii="Arial" w:hAnsi="Arial" w:cs="Arial"/>
          <w:sz w:val="20"/>
          <w:szCs w:val="20"/>
        </w:rPr>
        <w:t xml:space="preserve"> UMAP plot displaying an additional 12 clusters of epithelial cells. </w:t>
      </w:r>
      <w:r w:rsidR="00A04503" w:rsidRPr="0050015C">
        <w:rPr>
          <w:rFonts w:ascii="Arial" w:hAnsi="Arial" w:cs="Arial"/>
          <w:b/>
          <w:bCs/>
          <w:sz w:val="20"/>
          <w:szCs w:val="20"/>
        </w:rPr>
        <w:t xml:space="preserve">(I) </w:t>
      </w:r>
      <w:r w:rsidR="00A04503" w:rsidRPr="0050015C">
        <w:rPr>
          <w:rFonts w:ascii="Arial" w:hAnsi="Arial" w:cs="Arial"/>
          <w:sz w:val="20"/>
          <w:szCs w:val="20"/>
        </w:rPr>
        <w:t>Line chart illustrating the optimal K value and the identification of six components.</w:t>
      </w:r>
    </w:p>
    <w:p w14:paraId="6EDFD455" w14:textId="77777777" w:rsidR="00A6354E" w:rsidRDefault="00A6354E">
      <w:pPr>
        <w:widowControl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3E473B5D" w14:textId="29D26449" w:rsidR="00A04503" w:rsidRDefault="00357E7F">
      <w:r>
        <w:rPr>
          <w:noProof/>
        </w:rPr>
        <w:lastRenderedPageBreak/>
        <w:drawing>
          <wp:inline distT="0" distB="0" distL="0" distR="0" wp14:anchorId="075E1D03" wp14:editId="5F7E7E64">
            <wp:extent cx="5274310" cy="7866380"/>
            <wp:effectExtent l="0" t="0" r="2540" b="1270"/>
            <wp:docPr id="10718060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806028" name="图片 1071806028"/>
                    <pic:cNvPicPr/>
                  </pic:nvPicPr>
                  <pic:blipFill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6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D2E0F" w14:textId="37BCEAB3" w:rsidR="00A6354E" w:rsidRDefault="00B970CC" w:rsidP="00A04503">
      <w:pPr>
        <w:spacing w:line="480" w:lineRule="auto"/>
        <w:rPr>
          <w:rFonts w:ascii="Arial" w:hAnsi="Arial" w:cs="Arial"/>
          <w:sz w:val="20"/>
          <w:szCs w:val="20"/>
        </w:rPr>
      </w:pPr>
      <w:r w:rsidRPr="00B970CC">
        <w:rPr>
          <w:rFonts w:ascii="Arial" w:hAnsi="Arial" w:cs="Arial"/>
          <w:b/>
          <w:bCs/>
          <w:sz w:val="20"/>
          <w:szCs w:val="20"/>
        </w:rPr>
        <w:t>Supplementary</w:t>
      </w:r>
      <w:r>
        <w:rPr>
          <w:rFonts w:ascii="Arial" w:hAnsi="Arial" w:cs="Arial" w:hint="eastAsia"/>
          <w:b/>
          <w:bCs/>
          <w:sz w:val="20"/>
          <w:szCs w:val="20"/>
        </w:rPr>
        <w:t xml:space="preserve"> </w:t>
      </w:r>
      <w:r w:rsidRPr="0050015C">
        <w:rPr>
          <w:rFonts w:ascii="Arial" w:hAnsi="Arial" w:cs="Arial"/>
          <w:b/>
          <w:bCs/>
          <w:sz w:val="20"/>
          <w:szCs w:val="20"/>
        </w:rPr>
        <w:t xml:space="preserve">Figure </w:t>
      </w:r>
      <w:r w:rsidR="00A04503" w:rsidRPr="0050015C">
        <w:rPr>
          <w:rFonts w:ascii="Arial" w:hAnsi="Arial" w:cs="Arial"/>
          <w:b/>
          <w:bCs/>
          <w:sz w:val="20"/>
          <w:szCs w:val="20"/>
        </w:rPr>
        <w:t>2. Single-cell RNA sequencing analysis of in-house data.</w:t>
      </w:r>
      <w:r w:rsidR="00A04503" w:rsidRPr="0050015C">
        <w:rPr>
          <w:rFonts w:ascii="Arial" w:hAnsi="Arial" w:cs="Arial"/>
          <w:sz w:val="20"/>
          <w:szCs w:val="20"/>
        </w:rPr>
        <w:t xml:space="preserve"> </w:t>
      </w:r>
      <w:r w:rsidR="00A04503" w:rsidRPr="0050015C">
        <w:rPr>
          <w:rFonts w:ascii="Arial" w:hAnsi="Arial" w:cs="Arial"/>
          <w:b/>
          <w:bCs/>
          <w:sz w:val="20"/>
          <w:szCs w:val="20"/>
        </w:rPr>
        <w:t>(A)</w:t>
      </w:r>
      <w:r w:rsidR="00A04503" w:rsidRPr="0050015C">
        <w:rPr>
          <w:rFonts w:ascii="Arial" w:hAnsi="Arial" w:cs="Arial"/>
          <w:sz w:val="20"/>
          <w:szCs w:val="20"/>
        </w:rPr>
        <w:t xml:space="preserve"> UMAP plots illustrating the expression levels of specific marker genes. </w:t>
      </w:r>
      <w:r w:rsidR="00A04503" w:rsidRPr="0050015C">
        <w:rPr>
          <w:rFonts w:ascii="Arial" w:hAnsi="Arial" w:cs="Arial"/>
          <w:b/>
          <w:bCs/>
          <w:sz w:val="20"/>
          <w:szCs w:val="20"/>
        </w:rPr>
        <w:t>(B)</w:t>
      </w:r>
      <w:r w:rsidR="00A04503" w:rsidRPr="0050015C">
        <w:rPr>
          <w:rFonts w:ascii="Arial" w:hAnsi="Arial" w:cs="Arial"/>
          <w:sz w:val="20"/>
          <w:szCs w:val="20"/>
        </w:rPr>
        <w:t xml:space="preserve"> Dot plot highlighting </w:t>
      </w:r>
      <w:r w:rsidR="00A04503" w:rsidRPr="0050015C">
        <w:rPr>
          <w:rFonts w:ascii="Arial" w:hAnsi="Arial" w:cs="Arial"/>
          <w:sz w:val="20"/>
          <w:szCs w:val="20"/>
        </w:rPr>
        <w:lastRenderedPageBreak/>
        <w:t xml:space="preserve">the differences in metabolic pathways between MP2 tumors and other sample types. </w:t>
      </w:r>
      <w:r w:rsidR="00A04503" w:rsidRPr="0050015C">
        <w:rPr>
          <w:rFonts w:ascii="Arial" w:hAnsi="Arial" w:cs="Arial"/>
          <w:b/>
          <w:bCs/>
          <w:sz w:val="20"/>
          <w:szCs w:val="20"/>
        </w:rPr>
        <w:t>(C)</w:t>
      </w:r>
      <w:r w:rsidR="00A04503" w:rsidRPr="0050015C">
        <w:rPr>
          <w:rFonts w:ascii="Arial" w:hAnsi="Arial" w:cs="Arial"/>
          <w:sz w:val="20"/>
          <w:szCs w:val="20"/>
        </w:rPr>
        <w:t xml:space="preserve"> Box plot demonstrating the activation levels of glycolysis and gluconeogenesis pathways in MP2 tumors.</w:t>
      </w:r>
    </w:p>
    <w:p w14:paraId="6584AC76" w14:textId="77777777" w:rsidR="00A6354E" w:rsidRDefault="00A6354E">
      <w:pPr>
        <w:widowControl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8EB5050" w14:textId="22ECE657" w:rsidR="00A04503" w:rsidRDefault="00357E7F">
      <w:r>
        <w:rPr>
          <w:noProof/>
        </w:rPr>
        <w:lastRenderedPageBreak/>
        <w:drawing>
          <wp:inline distT="0" distB="0" distL="0" distR="0" wp14:anchorId="754D53EB" wp14:editId="1DDA6C6E">
            <wp:extent cx="5274310" cy="6862445"/>
            <wp:effectExtent l="0" t="0" r="2540" b="0"/>
            <wp:docPr id="91091318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913181" name="图片 910913181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4D1FF" w14:textId="4C54229A" w:rsidR="00A6354E" w:rsidRDefault="00B970CC" w:rsidP="00A04503">
      <w:pPr>
        <w:spacing w:line="480" w:lineRule="auto"/>
        <w:rPr>
          <w:rFonts w:ascii="Arial" w:hAnsi="Arial" w:cs="Arial"/>
          <w:sz w:val="20"/>
          <w:szCs w:val="20"/>
        </w:rPr>
      </w:pPr>
      <w:r w:rsidRPr="00B970CC">
        <w:rPr>
          <w:rFonts w:ascii="Arial" w:hAnsi="Arial" w:cs="Arial"/>
          <w:b/>
          <w:bCs/>
          <w:sz w:val="20"/>
          <w:szCs w:val="20"/>
        </w:rPr>
        <w:t>Supplementary</w:t>
      </w:r>
      <w:r>
        <w:rPr>
          <w:rFonts w:ascii="Arial" w:hAnsi="Arial" w:cs="Arial" w:hint="eastAsia"/>
          <w:b/>
          <w:bCs/>
          <w:sz w:val="20"/>
          <w:szCs w:val="20"/>
        </w:rPr>
        <w:t xml:space="preserve"> </w:t>
      </w:r>
      <w:r w:rsidRPr="0050015C">
        <w:rPr>
          <w:rFonts w:ascii="Arial" w:hAnsi="Arial" w:cs="Arial"/>
          <w:b/>
          <w:bCs/>
          <w:sz w:val="20"/>
          <w:szCs w:val="20"/>
        </w:rPr>
        <w:t xml:space="preserve">Figure </w:t>
      </w:r>
      <w:r w:rsidR="00A04503" w:rsidRPr="0050015C">
        <w:rPr>
          <w:rFonts w:ascii="Arial" w:hAnsi="Arial" w:cs="Arial"/>
          <w:b/>
          <w:bCs/>
          <w:sz w:val="20"/>
          <w:szCs w:val="20"/>
        </w:rPr>
        <w:t>3. Analysis of T/NK cells subsets, related to Figure 3</w:t>
      </w:r>
      <w:r w:rsidR="00A04503" w:rsidRPr="0050015C">
        <w:rPr>
          <w:rFonts w:ascii="Arial" w:hAnsi="Arial" w:cs="Arial"/>
          <w:sz w:val="20"/>
          <w:szCs w:val="20"/>
        </w:rPr>
        <w:t xml:space="preserve">. </w:t>
      </w:r>
      <w:r w:rsidR="00A04503" w:rsidRPr="0050015C">
        <w:rPr>
          <w:rFonts w:ascii="Arial" w:hAnsi="Arial" w:cs="Arial"/>
          <w:b/>
          <w:bCs/>
          <w:sz w:val="20"/>
          <w:szCs w:val="20"/>
        </w:rPr>
        <w:t>(A)</w:t>
      </w:r>
      <w:r w:rsidR="00A04503" w:rsidRPr="0050015C">
        <w:rPr>
          <w:rFonts w:ascii="Arial" w:hAnsi="Arial" w:cs="Arial"/>
          <w:sz w:val="20"/>
          <w:szCs w:val="20"/>
        </w:rPr>
        <w:t xml:space="preserve"> UMAP plots illustrating the expression levels of specific marker genes. </w:t>
      </w:r>
      <w:r w:rsidR="00A04503" w:rsidRPr="0050015C">
        <w:rPr>
          <w:rFonts w:ascii="Arial" w:hAnsi="Arial" w:cs="Arial"/>
          <w:b/>
          <w:bCs/>
          <w:sz w:val="20"/>
          <w:szCs w:val="20"/>
        </w:rPr>
        <w:t>(B)</w:t>
      </w:r>
      <w:r w:rsidR="00A04503" w:rsidRPr="0050015C">
        <w:rPr>
          <w:rFonts w:ascii="Arial" w:hAnsi="Arial" w:cs="Arial"/>
          <w:sz w:val="20"/>
          <w:szCs w:val="20"/>
        </w:rPr>
        <w:t xml:space="preserve"> UMAP representation of CD4 T cell subclusters. </w:t>
      </w:r>
      <w:r w:rsidR="00A04503" w:rsidRPr="0050015C">
        <w:rPr>
          <w:rFonts w:ascii="Arial" w:hAnsi="Arial" w:cs="Arial"/>
          <w:b/>
          <w:bCs/>
          <w:sz w:val="20"/>
          <w:szCs w:val="20"/>
        </w:rPr>
        <w:t>(C)</w:t>
      </w:r>
      <w:r w:rsidR="00A04503" w:rsidRPr="0050015C">
        <w:rPr>
          <w:rFonts w:ascii="Arial" w:hAnsi="Arial" w:cs="Arial"/>
          <w:sz w:val="20"/>
          <w:szCs w:val="20"/>
        </w:rPr>
        <w:t xml:space="preserve"> Dot plot depicting the expression of marker genes within CD4 T cell clusters. </w:t>
      </w:r>
      <w:r w:rsidR="00A04503" w:rsidRPr="0050015C">
        <w:rPr>
          <w:rFonts w:ascii="Arial" w:hAnsi="Arial" w:cs="Arial"/>
          <w:b/>
          <w:bCs/>
          <w:sz w:val="20"/>
          <w:szCs w:val="20"/>
        </w:rPr>
        <w:t>(D)</w:t>
      </w:r>
      <w:r w:rsidR="00A04503" w:rsidRPr="0050015C">
        <w:rPr>
          <w:rFonts w:ascii="Arial" w:hAnsi="Arial" w:cs="Arial"/>
          <w:sz w:val="20"/>
          <w:szCs w:val="20"/>
        </w:rPr>
        <w:t xml:space="preserve"> Odds ratio analysis comparing CD4 T cell clusters between MP2 tumors and other samples. </w:t>
      </w:r>
      <w:r w:rsidR="00A04503" w:rsidRPr="0050015C">
        <w:rPr>
          <w:rFonts w:ascii="Arial" w:hAnsi="Arial" w:cs="Arial"/>
          <w:b/>
          <w:bCs/>
          <w:sz w:val="20"/>
          <w:szCs w:val="20"/>
        </w:rPr>
        <w:t>(E)</w:t>
      </w:r>
      <w:r w:rsidR="00A04503" w:rsidRPr="0050015C">
        <w:rPr>
          <w:rFonts w:ascii="Arial" w:hAnsi="Arial" w:cs="Arial"/>
          <w:sz w:val="20"/>
          <w:szCs w:val="20"/>
        </w:rPr>
        <w:t xml:space="preserve"> UMAP visualization of CD8 T cell subclusters. </w:t>
      </w:r>
      <w:r w:rsidR="00A04503" w:rsidRPr="0050015C">
        <w:rPr>
          <w:rFonts w:ascii="Arial" w:hAnsi="Arial" w:cs="Arial"/>
          <w:b/>
          <w:bCs/>
          <w:sz w:val="20"/>
          <w:szCs w:val="20"/>
        </w:rPr>
        <w:t>(F)</w:t>
      </w:r>
      <w:r w:rsidR="00A04503" w:rsidRPr="0050015C">
        <w:rPr>
          <w:rFonts w:ascii="Arial" w:hAnsi="Arial" w:cs="Arial"/>
          <w:sz w:val="20"/>
          <w:szCs w:val="20"/>
        </w:rPr>
        <w:t xml:space="preserve"> Dot plot showing the expression </w:t>
      </w:r>
      <w:r w:rsidR="00A04503" w:rsidRPr="0050015C">
        <w:rPr>
          <w:rFonts w:ascii="Arial" w:hAnsi="Arial" w:cs="Arial"/>
          <w:sz w:val="20"/>
          <w:szCs w:val="20"/>
        </w:rPr>
        <w:lastRenderedPageBreak/>
        <w:t xml:space="preserve">of marker genes in CD8 T cell clusters. </w:t>
      </w:r>
      <w:r w:rsidR="00A04503" w:rsidRPr="0050015C">
        <w:rPr>
          <w:rFonts w:ascii="Arial" w:hAnsi="Arial" w:cs="Arial"/>
          <w:b/>
          <w:bCs/>
          <w:sz w:val="20"/>
          <w:szCs w:val="20"/>
        </w:rPr>
        <w:t>(G)</w:t>
      </w:r>
      <w:r w:rsidR="00A04503" w:rsidRPr="0050015C">
        <w:rPr>
          <w:rFonts w:ascii="Arial" w:hAnsi="Arial" w:cs="Arial"/>
          <w:sz w:val="20"/>
          <w:szCs w:val="20"/>
        </w:rPr>
        <w:t xml:space="preserve"> Comparison of metabolic activities between MP2 tumors and other samples. </w:t>
      </w:r>
      <w:r w:rsidR="00A04503" w:rsidRPr="0050015C">
        <w:rPr>
          <w:rFonts w:ascii="Arial" w:hAnsi="Arial" w:cs="Arial"/>
          <w:b/>
          <w:bCs/>
          <w:sz w:val="20"/>
          <w:szCs w:val="20"/>
        </w:rPr>
        <w:t>(H)</w:t>
      </w:r>
      <w:r w:rsidR="00A04503" w:rsidRPr="0050015C">
        <w:rPr>
          <w:rFonts w:ascii="Arial" w:hAnsi="Arial" w:cs="Arial"/>
          <w:sz w:val="20"/>
          <w:szCs w:val="20"/>
        </w:rPr>
        <w:t xml:space="preserve"> Expression levels of effector markers in MP2 tumors versus other samples. </w:t>
      </w:r>
      <w:r w:rsidR="00A04503" w:rsidRPr="0050015C">
        <w:rPr>
          <w:rFonts w:ascii="Arial" w:hAnsi="Arial" w:cs="Arial"/>
          <w:b/>
          <w:bCs/>
          <w:sz w:val="20"/>
          <w:szCs w:val="20"/>
        </w:rPr>
        <w:t>(I)</w:t>
      </w:r>
      <w:r w:rsidR="00A04503" w:rsidRPr="0050015C">
        <w:rPr>
          <w:rFonts w:ascii="Arial" w:hAnsi="Arial" w:cs="Arial"/>
          <w:sz w:val="20"/>
          <w:szCs w:val="20"/>
        </w:rPr>
        <w:t xml:space="preserve"> Expression levels of exhaustion markers in MP2 tumors compared to other samples.</w:t>
      </w:r>
    </w:p>
    <w:p w14:paraId="52C03AD2" w14:textId="77777777" w:rsidR="00A6354E" w:rsidRDefault="00A6354E">
      <w:pPr>
        <w:widowControl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271B51E5" w14:textId="542C8621" w:rsidR="00777543" w:rsidRDefault="00357E7F">
      <w:r>
        <w:rPr>
          <w:noProof/>
        </w:rPr>
        <w:lastRenderedPageBreak/>
        <w:drawing>
          <wp:inline distT="0" distB="0" distL="0" distR="0" wp14:anchorId="4B2280A5" wp14:editId="576D797C">
            <wp:extent cx="5274310" cy="7755890"/>
            <wp:effectExtent l="0" t="0" r="2540" b="0"/>
            <wp:docPr id="144763625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636251" name="图片 1447636251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10A56" w14:textId="0A89DE29" w:rsidR="00A04503" w:rsidRDefault="00B970CC" w:rsidP="00A6354E">
      <w:pPr>
        <w:spacing w:line="480" w:lineRule="auto"/>
      </w:pPr>
      <w:r w:rsidRPr="00B970CC">
        <w:rPr>
          <w:rFonts w:ascii="Arial" w:hAnsi="Arial" w:cs="Arial"/>
          <w:b/>
          <w:bCs/>
          <w:sz w:val="20"/>
          <w:szCs w:val="20"/>
        </w:rPr>
        <w:t>Supplementary</w:t>
      </w:r>
      <w:r>
        <w:rPr>
          <w:rFonts w:ascii="Arial" w:hAnsi="Arial" w:cs="Arial" w:hint="eastAsia"/>
          <w:b/>
          <w:bCs/>
          <w:sz w:val="20"/>
          <w:szCs w:val="20"/>
        </w:rPr>
        <w:t xml:space="preserve"> </w:t>
      </w:r>
      <w:r w:rsidRPr="0050015C">
        <w:rPr>
          <w:rFonts w:ascii="Arial" w:hAnsi="Arial" w:cs="Arial"/>
          <w:b/>
          <w:bCs/>
          <w:sz w:val="20"/>
          <w:szCs w:val="20"/>
        </w:rPr>
        <w:t xml:space="preserve">Figure </w:t>
      </w:r>
      <w:r w:rsidR="00A04503" w:rsidRPr="0050015C">
        <w:rPr>
          <w:rFonts w:ascii="Arial" w:hAnsi="Arial" w:cs="Arial"/>
          <w:b/>
          <w:bCs/>
          <w:sz w:val="20"/>
          <w:szCs w:val="20"/>
        </w:rPr>
        <w:t>4. Analysis of monocytes and macrophages subsets, related to Figure 4.</w:t>
      </w:r>
      <w:r w:rsidR="00A04503" w:rsidRPr="0050015C">
        <w:rPr>
          <w:rFonts w:ascii="Arial" w:hAnsi="Arial" w:cs="Arial"/>
          <w:sz w:val="20"/>
          <w:szCs w:val="20"/>
        </w:rPr>
        <w:t xml:space="preserve"> </w:t>
      </w:r>
      <w:r w:rsidR="00A04503" w:rsidRPr="0050015C">
        <w:rPr>
          <w:rFonts w:ascii="Arial" w:hAnsi="Arial" w:cs="Arial"/>
          <w:b/>
          <w:bCs/>
          <w:sz w:val="20"/>
          <w:szCs w:val="20"/>
        </w:rPr>
        <w:t>(A)</w:t>
      </w:r>
      <w:r w:rsidR="00A04503" w:rsidRPr="0050015C">
        <w:rPr>
          <w:rFonts w:ascii="Arial" w:hAnsi="Arial" w:cs="Arial"/>
          <w:sz w:val="20"/>
          <w:szCs w:val="20"/>
        </w:rPr>
        <w:t xml:space="preserve"> UMAP plots illustrating the expression levels of specific marker genes. </w:t>
      </w:r>
      <w:r w:rsidR="00A04503" w:rsidRPr="0050015C">
        <w:rPr>
          <w:rFonts w:ascii="Arial" w:hAnsi="Arial" w:cs="Arial"/>
          <w:b/>
          <w:bCs/>
          <w:sz w:val="20"/>
          <w:szCs w:val="20"/>
        </w:rPr>
        <w:t>(B)</w:t>
      </w:r>
      <w:r w:rsidR="00A04503" w:rsidRPr="0050015C">
        <w:rPr>
          <w:rFonts w:ascii="Arial" w:hAnsi="Arial" w:cs="Arial"/>
          <w:sz w:val="20"/>
          <w:szCs w:val="20"/>
        </w:rPr>
        <w:t xml:space="preserve"> Donut </w:t>
      </w:r>
      <w:r w:rsidR="00A04503" w:rsidRPr="0050015C">
        <w:rPr>
          <w:rFonts w:ascii="Arial" w:hAnsi="Arial" w:cs="Arial"/>
          <w:sz w:val="20"/>
          <w:szCs w:val="20"/>
        </w:rPr>
        <w:lastRenderedPageBreak/>
        <w:t xml:space="preserve">chart presenting the percentages of various subclusters. </w:t>
      </w:r>
      <w:r w:rsidR="00A04503" w:rsidRPr="0050015C">
        <w:rPr>
          <w:rFonts w:ascii="Arial" w:hAnsi="Arial" w:cs="Arial"/>
          <w:b/>
          <w:bCs/>
          <w:sz w:val="20"/>
          <w:szCs w:val="20"/>
        </w:rPr>
        <w:t>(C)</w:t>
      </w:r>
      <w:r w:rsidR="00A04503" w:rsidRPr="0050015C">
        <w:rPr>
          <w:rFonts w:ascii="Arial" w:hAnsi="Arial" w:cs="Arial"/>
          <w:sz w:val="20"/>
          <w:szCs w:val="20"/>
        </w:rPr>
        <w:t xml:space="preserve"> UMAP plot depicting the varying degrees of differentiation. </w:t>
      </w:r>
      <w:r w:rsidR="00A04503" w:rsidRPr="0050015C">
        <w:rPr>
          <w:rFonts w:ascii="Arial" w:hAnsi="Arial" w:cs="Arial"/>
          <w:b/>
          <w:bCs/>
          <w:sz w:val="20"/>
          <w:szCs w:val="20"/>
        </w:rPr>
        <w:t>(D)</w:t>
      </w:r>
      <w:r w:rsidR="00A04503" w:rsidRPr="0050015C">
        <w:rPr>
          <w:rFonts w:ascii="Arial" w:hAnsi="Arial" w:cs="Arial"/>
          <w:sz w:val="20"/>
          <w:szCs w:val="20"/>
        </w:rPr>
        <w:t xml:space="preserve"> Cytotrace2 scores for different subclusters. </w:t>
      </w:r>
      <w:r w:rsidR="00A04503" w:rsidRPr="0050015C">
        <w:rPr>
          <w:rFonts w:ascii="Arial" w:hAnsi="Arial" w:cs="Arial"/>
          <w:b/>
          <w:bCs/>
          <w:sz w:val="20"/>
          <w:szCs w:val="20"/>
        </w:rPr>
        <w:t>(E)</w:t>
      </w:r>
      <w:r w:rsidR="00A04503" w:rsidRPr="0050015C">
        <w:rPr>
          <w:rFonts w:ascii="Arial" w:hAnsi="Arial" w:cs="Arial"/>
          <w:sz w:val="20"/>
          <w:szCs w:val="20"/>
        </w:rPr>
        <w:t xml:space="preserve"> Monocle2 trajectory analysis of the different subclusters.</w:t>
      </w:r>
      <w:r w:rsidR="00A04503" w:rsidRPr="0050015C">
        <w:rPr>
          <w:rFonts w:ascii="Arial" w:hAnsi="Arial" w:cs="Arial"/>
          <w:b/>
          <w:bCs/>
          <w:sz w:val="20"/>
          <w:szCs w:val="20"/>
        </w:rPr>
        <w:t xml:space="preserve"> (F)</w:t>
      </w:r>
      <w:r w:rsidR="00A04503" w:rsidRPr="0050015C">
        <w:rPr>
          <w:rFonts w:ascii="Arial" w:hAnsi="Arial" w:cs="Arial"/>
          <w:sz w:val="20"/>
          <w:szCs w:val="20"/>
        </w:rPr>
        <w:t xml:space="preserve"> Box plot illustrating the differentiation trajectories of subclusters. </w:t>
      </w:r>
      <w:r w:rsidR="00A04503" w:rsidRPr="0050015C">
        <w:rPr>
          <w:rFonts w:ascii="Arial" w:hAnsi="Arial" w:cs="Arial"/>
          <w:b/>
          <w:bCs/>
          <w:sz w:val="20"/>
          <w:szCs w:val="20"/>
        </w:rPr>
        <w:t>(G)</w:t>
      </w:r>
      <w:r w:rsidR="00A04503" w:rsidRPr="0050015C">
        <w:rPr>
          <w:rFonts w:ascii="Arial" w:hAnsi="Arial" w:cs="Arial"/>
          <w:sz w:val="20"/>
          <w:szCs w:val="20"/>
        </w:rPr>
        <w:t xml:space="preserve"> Changes in the density of differentiation among various subclusters over time.</w:t>
      </w:r>
    </w:p>
    <w:sectPr w:rsidR="00A045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88F"/>
    <w:rsid w:val="00267639"/>
    <w:rsid w:val="00357E7F"/>
    <w:rsid w:val="00597537"/>
    <w:rsid w:val="00683D07"/>
    <w:rsid w:val="007163F9"/>
    <w:rsid w:val="0073788F"/>
    <w:rsid w:val="00777543"/>
    <w:rsid w:val="007D7596"/>
    <w:rsid w:val="007E3AD3"/>
    <w:rsid w:val="00894A6D"/>
    <w:rsid w:val="008C3FCB"/>
    <w:rsid w:val="00A04503"/>
    <w:rsid w:val="00A6354E"/>
    <w:rsid w:val="00B61610"/>
    <w:rsid w:val="00B970CC"/>
    <w:rsid w:val="00C374E0"/>
    <w:rsid w:val="00D321B5"/>
    <w:rsid w:val="00D371E1"/>
    <w:rsid w:val="00DC17D6"/>
    <w:rsid w:val="00DE2E88"/>
    <w:rsid w:val="00EB4D3A"/>
    <w:rsid w:val="00F15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711A8D"/>
  <w14:defaultImageDpi w14:val="330"/>
  <w15:chartTrackingRefBased/>
  <w15:docId w15:val="{F13CB1FC-3F7B-4C3F-8937-26CAE15C1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3D07"/>
    <w:pPr>
      <w:widowControl w:val="0"/>
      <w:jc w:val="both"/>
    </w:pPr>
    <w:rPr>
      <w:rFonts w:ascii="Calibri" w:eastAsia="宋体" w:hAnsi="Calibri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73788F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78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788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788F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788F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788F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788F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788F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788F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rsid w:val="00683D07"/>
    <w:pPr>
      <w:tabs>
        <w:tab w:val="center" w:pos="4153"/>
        <w:tab w:val="right" w:pos="8306"/>
      </w:tabs>
      <w:snapToGrid w:val="0"/>
      <w:jc w:val="left"/>
    </w:pPr>
    <w:rPr>
      <w:rFonts w:cs="Times New Roman"/>
      <w:sz w:val="18"/>
    </w:rPr>
  </w:style>
  <w:style w:type="character" w:customStyle="1" w:styleId="a4">
    <w:name w:val="页脚 字符"/>
    <w:basedOn w:val="a0"/>
    <w:link w:val="a3"/>
    <w:rsid w:val="00683D07"/>
    <w:rPr>
      <w:rFonts w:ascii="Calibri" w:eastAsia="宋体" w:hAnsi="Calibri" w:cs="Times New Roman"/>
      <w:kern w:val="2"/>
      <w:sz w:val="18"/>
      <w:szCs w:val="24"/>
    </w:rPr>
  </w:style>
  <w:style w:type="character" w:styleId="a5">
    <w:name w:val="page number"/>
    <w:basedOn w:val="a0"/>
    <w:qFormat/>
    <w:rsid w:val="00683D07"/>
  </w:style>
  <w:style w:type="character" w:customStyle="1" w:styleId="10">
    <w:name w:val="标题 1 字符"/>
    <w:basedOn w:val="a0"/>
    <w:link w:val="1"/>
    <w:uiPriority w:val="9"/>
    <w:rsid w:val="0073788F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7378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7378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73788F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73788F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73788F"/>
    <w:rPr>
      <w:rFonts w:cstheme="majorBidi"/>
      <w:b/>
      <w:bCs/>
      <w:color w:val="0F4761" w:themeColor="accent1" w:themeShade="BF"/>
      <w:sz w:val="21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73788F"/>
    <w:rPr>
      <w:rFonts w:cstheme="majorBidi"/>
      <w:b/>
      <w:bCs/>
      <w:color w:val="595959" w:themeColor="text1" w:themeTint="A6"/>
      <w:sz w:val="21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73788F"/>
    <w:rPr>
      <w:rFonts w:cstheme="majorBidi"/>
      <w:color w:val="595959" w:themeColor="text1" w:themeTint="A6"/>
      <w:sz w:val="21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73788F"/>
    <w:rPr>
      <w:rFonts w:eastAsiaTheme="majorEastAsia" w:cstheme="majorBidi"/>
      <w:color w:val="595959" w:themeColor="text1" w:themeTint="A6"/>
      <w:sz w:val="21"/>
      <w:szCs w:val="24"/>
    </w:rPr>
  </w:style>
  <w:style w:type="paragraph" w:styleId="a6">
    <w:name w:val="Title"/>
    <w:basedOn w:val="a"/>
    <w:next w:val="a"/>
    <w:link w:val="a7"/>
    <w:uiPriority w:val="10"/>
    <w:qFormat/>
    <w:rsid w:val="0073788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标题 字符"/>
    <w:basedOn w:val="a0"/>
    <w:link w:val="a6"/>
    <w:uiPriority w:val="10"/>
    <w:rsid w:val="007378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8">
    <w:name w:val="Subtitle"/>
    <w:basedOn w:val="a"/>
    <w:next w:val="a"/>
    <w:link w:val="a9"/>
    <w:uiPriority w:val="11"/>
    <w:qFormat/>
    <w:rsid w:val="0073788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9">
    <w:name w:val="副标题 字符"/>
    <w:basedOn w:val="a0"/>
    <w:link w:val="a8"/>
    <w:uiPriority w:val="11"/>
    <w:rsid w:val="0073788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a">
    <w:name w:val="Quote"/>
    <w:basedOn w:val="a"/>
    <w:next w:val="a"/>
    <w:link w:val="ab"/>
    <w:uiPriority w:val="29"/>
    <w:rsid w:val="0073788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b">
    <w:name w:val="引用 字符"/>
    <w:basedOn w:val="a0"/>
    <w:link w:val="aa"/>
    <w:uiPriority w:val="29"/>
    <w:rsid w:val="0073788F"/>
    <w:rPr>
      <w:rFonts w:ascii="Calibri" w:eastAsia="宋体" w:hAnsi="Calibri"/>
      <w:i/>
      <w:iCs/>
      <w:color w:val="404040" w:themeColor="text1" w:themeTint="BF"/>
      <w:sz w:val="21"/>
      <w:szCs w:val="24"/>
    </w:rPr>
  </w:style>
  <w:style w:type="paragraph" w:styleId="ac">
    <w:name w:val="List Paragraph"/>
    <w:basedOn w:val="a"/>
    <w:uiPriority w:val="34"/>
    <w:rsid w:val="0073788F"/>
    <w:pPr>
      <w:ind w:left="720"/>
      <w:contextualSpacing/>
    </w:pPr>
  </w:style>
  <w:style w:type="character" w:styleId="ad">
    <w:name w:val="Intense Emphasis"/>
    <w:basedOn w:val="a0"/>
    <w:uiPriority w:val="21"/>
    <w:qFormat/>
    <w:rsid w:val="0073788F"/>
    <w:rPr>
      <w:i/>
      <w:iCs/>
      <w:color w:val="0F4761" w:themeColor="accent1" w:themeShade="BF"/>
    </w:rPr>
  </w:style>
  <w:style w:type="paragraph" w:styleId="ae">
    <w:name w:val="Intense Quote"/>
    <w:basedOn w:val="a"/>
    <w:next w:val="a"/>
    <w:link w:val="af"/>
    <w:uiPriority w:val="30"/>
    <w:rsid w:val="007378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">
    <w:name w:val="明显引用 字符"/>
    <w:basedOn w:val="a0"/>
    <w:link w:val="ae"/>
    <w:uiPriority w:val="30"/>
    <w:rsid w:val="0073788F"/>
    <w:rPr>
      <w:rFonts w:ascii="Calibri" w:eastAsia="宋体" w:hAnsi="Calibri"/>
      <w:i/>
      <w:iCs/>
      <w:color w:val="0F4761" w:themeColor="accent1" w:themeShade="BF"/>
      <w:sz w:val="21"/>
      <w:szCs w:val="24"/>
    </w:rPr>
  </w:style>
  <w:style w:type="character" w:styleId="af0">
    <w:name w:val="Intense Reference"/>
    <w:basedOn w:val="a0"/>
    <w:uiPriority w:val="32"/>
    <w:qFormat/>
    <w:rsid w:val="0073788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361</Words>
  <Characters>2063</Characters>
  <Application>Microsoft Office Word</Application>
  <DocSecurity>0</DocSecurity>
  <Lines>17</Lines>
  <Paragraphs>4</Paragraphs>
  <ScaleCrop>false</ScaleCrop>
  <Company/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</dc:creator>
  <cp:keywords/>
  <dc:description/>
  <cp:lastModifiedBy>Author</cp:lastModifiedBy>
  <cp:revision>5</cp:revision>
  <dcterms:created xsi:type="dcterms:W3CDTF">2025-08-10T17:04:00Z</dcterms:created>
  <dcterms:modified xsi:type="dcterms:W3CDTF">2025-08-10T17:06:00Z</dcterms:modified>
</cp:coreProperties>
</file>