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F85DE">
      <w:pPr>
        <w:spacing w:line="360" w:lineRule="auto"/>
        <w:ind w:firstLine="0" w:firstLineChars="0"/>
        <w:jc w:val="center"/>
        <w:rPr>
          <w:rFonts w:hint="default" w:ascii="Arial" w:hAnsi="Arial" w:cs="Arial"/>
          <w:b/>
          <w:color w:val="auto"/>
          <w:sz w:val="20"/>
          <w:szCs w:val="20"/>
        </w:rPr>
      </w:pPr>
      <w:r>
        <w:rPr>
          <w:rFonts w:hint="default" w:ascii="Arial" w:hAnsi="Arial" w:cs="Arial"/>
          <w:b/>
          <w:color w:val="auto"/>
          <w:sz w:val="20"/>
          <w:szCs w:val="20"/>
          <w:lang w:val="en-US" w:eastAsia="zh-CN"/>
        </w:rPr>
        <w:t xml:space="preserve">Supplementary </w:t>
      </w:r>
      <w:r>
        <w:rPr>
          <w:rFonts w:hint="default" w:ascii="Arial" w:hAnsi="Arial" w:cs="Arial"/>
          <w:b/>
          <w:color w:val="auto"/>
          <w:sz w:val="20"/>
          <w:szCs w:val="20"/>
        </w:rPr>
        <w:t>Table 1 The detail information for all primers used</w:t>
      </w:r>
    </w:p>
    <w:p w14:paraId="08BCB960">
      <w:pPr>
        <w:spacing w:line="360" w:lineRule="auto"/>
        <w:ind w:firstLine="0" w:firstLineChars="0"/>
        <w:jc w:val="center"/>
        <w:rPr>
          <w:rFonts w:hint="default" w:ascii="Arial" w:hAnsi="Arial" w:eastAsia="宋体" w:cs="Arial"/>
          <w:b/>
          <w:bCs/>
          <w:color w:val="auto"/>
          <w:sz w:val="20"/>
          <w:szCs w:val="20"/>
        </w:rPr>
      </w:pPr>
      <w:r>
        <w:rPr>
          <w:rFonts w:hint="default" w:ascii="Arial" w:hAnsi="Arial" w:cs="Arial"/>
          <w:b/>
          <w:color w:val="auto"/>
          <w:sz w:val="20"/>
          <w:szCs w:val="20"/>
        </w:rPr>
        <w:t xml:space="preserve"> in current study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3715"/>
        <w:gridCol w:w="1700"/>
        <w:gridCol w:w="2858"/>
        <w:gridCol w:w="2583"/>
      </w:tblGrid>
      <w:tr w14:paraId="44FC7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tcBorders>
              <w:top w:val="single" w:color="auto" w:sz="4" w:space="0"/>
              <w:bottom w:val="single" w:color="auto" w:sz="4" w:space="0"/>
            </w:tcBorders>
          </w:tcPr>
          <w:p w14:paraId="48949025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Gene</w:t>
            </w:r>
          </w:p>
        </w:tc>
        <w:tc>
          <w:tcPr>
            <w:tcW w:w="3715" w:type="dxa"/>
            <w:tcBorders>
              <w:top w:val="single" w:color="auto" w:sz="4" w:space="0"/>
              <w:bottom w:val="single" w:color="auto" w:sz="4" w:space="0"/>
            </w:tcBorders>
          </w:tcPr>
          <w:p w14:paraId="6004B2E7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Primer sequence</w:t>
            </w:r>
          </w:p>
          <w:p w14:paraId="50C57D5A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(5’ - 3’)</w:t>
            </w:r>
          </w:p>
        </w:tc>
        <w:tc>
          <w:tcPr>
            <w:tcW w:w="1700" w:type="dxa"/>
            <w:tcBorders>
              <w:top w:val="single" w:color="auto" w:sz="4" w:space="0"/>
              <w:bottom w:val="single" w:color="auto" w:sz="4" w:space="0"/>
            </w:tcBorders>
          </w:tcPr>
          <w:p w14:paraId="1F901D2A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Product size</w:t>
            </w:r>
          </w:p>
          <w:p w14:paraId="008C5E43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(bp)</w:t>
            </w:r>
          </w:p>
        </w:tc>
        <w:tc>
          <w:tcPr>
            <w:tcW w:w="2858" w:type="dxa"/>
            <w:tcBorders>
              <w:top w:val="single" w:color="auto" w:sz="4" w:space="0"/>
              <w:bottom w:val="single" w:color="auto" w:sz="4" w:space="0"/>
            </w:tcBorders>
          </w:tcPr>
          <w:p w14:paraId="65B7017F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 xml:space="preserve">Annealing temperature </w:t>
            </w:r>
          </w:p>
          <w:p w14:paraId="1C76736E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(℃)</w:t>
            </w:r>
          </w:p>
        </w:tc>
        <w:tc>
          <w:tcPr>
            <w:tcW w:w="2583" w:type="dxa"/>
            <w:tcBorders>
              <w:top w:val="single" w:color="auto" w:sz="4" w:space="0"/>
              <w:bottom w:val="single" w:color="auto" w:sz="4" w:space="0"/>
            </w:tcBorders>
          </w:tcPr>
          <w:p w14:paraId="108CCA65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Reference sequence (NCBI)</w:t>
            </w:r>
          </w:p>
        </w:tc>
      </w:tr>
      <w:tr w14:paraId="03EB51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Merge w:val="restart"/>
            <w:tcBorders>
              <w:top w:val="single" w:color="auto" w:sz="4" w:space="0"/>
            </w:tcBorders>
            <w:vAlign w:val="center"/>
          </w:tcPr>
          <w:p w14:paraId="3F2971F8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</w:rPr>
            </w:pPr>
            <w:r>
              <w:rPr>
                <w:rStyle w:val="7"/>
                <w:rFonts w:hint="default" w:ascii="Arial" w:hAnsi="Arial" w:eastAsia="Segoe UI" w:cs="Arial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ST8SIA1</w:t>
            </w:r>
          </w:p>
        </w:tc>
        <w:tc>
          <w:tcPr>
            <w:tcW w:w="3715" w:type="dxa"/>
            <w:tcBorders>
              <w:top w:val="single" w:color="auto" w:sz="4" w:space="0"/>
            </w:tcBorders>
          </w:tcPr>
          <w:p w14:paraId="3111F96F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F: CAG GAC TTC AAG GGC TAC CT</w:t>
            </w:r>
          </w:p>
        </w:tc>
        <w:tc>
          <w:tcPr>
            <w:tcW w:w="1700" w:type="dxa"/>
            <w:vMerge w:val="restart"/>
            <w:tcBorders>
              <w:top w:val="single" w:color="auto" w:sz="4" w:space="0"/>
            </w:tcBorders>
            <w:vAlign w:val="center"/>
          </w:tcPr>
          <w:p w14:paraId="25284590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180</w:t>
            </w:r>
          </w:p>
        </w:tc>
        <w:tc>
          <w:tcPr>
            <w:tcW w:w="2858" w:type="dxa"/>
            <w:vMerge w:val="restart"/>
            <w:tcBorders>
              <w:top w:val="single" w:color="auto" w:sz="4" w:space="0"/>
            </w:tcBorders>
            <w:vAlign w:val="center"/>
          </w:tcPr>
          <w:p w14:paraId="249F357C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60</w:t>
            </w:r>
          </w:p>
        </w:tc>
        <w:tc>
          <w:tcPr>
            <w:tcW w:w="2583" w:type="dxa"/>
            <w:vMerge w:val="restart"/>
            <w:tcBorders>
              <w:top w:val="single" w:color="auto" w:sz="4" w:space="0"/>
            </w:tcBorders>
            <w:vAlign w:val="center"/>
          </w:tcPr>
          <w:p w14:paraId="32E57EF3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NM_015277.4</w:t>
            </w:r>
          </w:p>
        </w:tc>
      </w:tr>
      <w:tr w14:paraId="02AAB3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Merge w:val="continue"/>
          </w:tcPr>
          <w:p w14:paraId="472E4120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3715" w:type="dxa"/>
          </w:tcPr>
          <w:p w14:paraId="3FE3E535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R: GTC TTG GCA TCT TGG TCT TG</w:t>
            </w:r>
          </w:p>
        </w:tc>
        <w:tc>
          <w:tcPr>
            <w:tcW w:w="1700" w:type="dxa"/>
            <w:vMerge w:val="continue"/>
          </w:tcPr>
          <w:p w14:paraId="176F2803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2858" w:type="dxa"/>
            <w:vMerge w:val="continue"/>
          </w:tcPr>
          <w:p w14:paraId="10C57DB8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2583" w:type="dxa"/>
            <w:vMerge w:val="continue"/>
          </w:tcPr>
          <w:p w14:paraId="77B69571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</w:tr>
      <w:tr w14:paraId="3069E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Merge w:val="restart"/>
            <w:vAlign w:val="center"/>
          </w:tcPr>
          <w:p w14:paraId="40DC102A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</w:rPr>
            </w:pPr>
            <w:r>
              <w:rPr>
                <w:rStyle w:val="7"/>
                <w:rFonts w:hint="default" w:ascii="Arial" w:hAnsi="Arial" w:eastAsia="Segoe UI" w:cs="Arial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FCN3</w:t>
            </w:r>
          </w:p>
        </w:tc>
        <w:tc>
          <w:tcPr>
            <w:tcW w:w="3715" w:type="dxa"/>
            <w:vAlign w:val="center"/>
          </w:tcPr>
          <w:p w14:paraId="7E8366FE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F: TGG AAG GCT GGA AGA AGA AC</w:t>
            </w:r>
          </w:p>
        </w:tc>
        <w:tc>
          <w:tcPr>
            <w:tcW w:w="1700" w:type="dxa"/>
            <w:vMerge w:val="restart"/>
            <w:vAlign w:val="center"/>
          </w:tcPr>
          <w:p w14:paraId="08EA4140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150</w:t>
            </w:r>
          </w:p>
        </w:tc>
        <w:tc>
          <w:tcPr>
            <w:tcW w:w="2858" w:type="dxa"/>
            <w:vMerge w:val="restart"/>
            <w:vAlign w:val="center"/>
          </w:tcPr>
          <w:p w14:paraId="67690A89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60</w:t>
            </w:r>
          </w:p>
        </w:tc>
        <w:tc>
          <w:tcPr>
            <w:tcW w:w="2583" w:type="dxa"/>
            <w:vMerge w:val="restart"/>
            <w:vAlign w:val="center"/>
          </w:tcPr>
          <w:p w14:paraId="3EC1A6F7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NM_000014.6</w:t>
            </w:r>
          </w:p>
        </w:tc>
      </w:tr>
      <w:tr w14:paraId="1A2411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Merge w:val="continue"/>
          </w:tcPr>
          <w:p w14:paraId="3B3CB934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3715" w:type="dxa"/>
          </w:tcPr>
          <w:p w14:paraId="5F44D2FC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R: CCA GGT GGT GGT GAA GAT GT</w:t>
            </w:r>
          </w:p>
        </w:tc>
        <w:tc>
          <w:tcPr>
            <w:tcW w:w="1700" w:type="dxa"/>
            <w:vMerge w:val="continue"/>
          </w:tcPr>
          <w:p w14:paraId="09DF0FEC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2858" w:type="dxa"/>
            <w:vMerge w:val="continue"/>
          </w:tcPr>
          <w:p w14:paraId="6FF2E1EA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2583" w:type="dxa"/>
            <w:vMerge w:val="continue"/>
          </w:tcPr>
          <w:p w14:paraId="733CF74A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</w:tr>
      <w:tr w14:paraId="0C603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Merge w:val="restart"/>
            <w:vAlign w:val="center"/>
          </w:tcPr>
          <w:p w14:paraId="3EC914DF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vertAlign w:val="baseline"/>
              </w:rPr>
            </w:pPr>
            <w:r>
              <w:rPr>
                <w:rStyle w:val="7"/>
                <w:rFonts w:hint="default" w:ascii="Arial" w:hAnsi="Arial" w:eastAsia="Segoe UI" w:cs="Arial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SULF1</w:t>
            </w:r>
          </w:p>
        </w:tc>
        <w:tc>
          <w:tcPr>
            <w:tcW w:w="3715" w:type="dxa"/>
            <w:vAlign w:val="center"/>
          </w:tcPr>
          <w:p w14:paraId="5C8527AA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F: AAG GCT GGA GGA GGA GAT GA</w:t>
            </w:r>
          </w:p>
        </w:tc>
        <w:tc>
          <w:tcPr>
            <w:tcW w:w="1700" w:type="dxa"/>
            <w:vMerge w:val="restart"/>
            <w:vAlign w:val="center"/>
          </w:tcPr>
          <w:p w14:paraId="5C7438D9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200</w:t>
            </w:r>
          </w:p>
        </w:tc>
        <w:tc>
          <w:tcPr>
            <w:tcW w:w="2858" w:type="dxa"/>
            <w:vMerge w:val="restart"/>
            <w:vAlign w:val="center"/>
          </w:tcPr>
          <w:p w14:paraId="5D3D913D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60</w:t>
            </w:r>
          </w:p>
        </w:tc>
        <w:tc>
          <w:tcPr>
            <w:tcW w:w="2583" w:type="dxa"/>
            <w:vMerge w:val="restart"/>
            <w:vAlign w:val="center"/>
          </w:tcPr>
          <w:p w14:paraId="06A18C11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NM_015170.4</w:t>
            </w:r>
          </w:p>
        </w:tc>
      </w:tr>
      <w:tr w14:paraId="097376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Merge w:val="continue"/>
          </w:tcPr>
          <w:p w14:paraId="3F2EF925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3715" w:type="dxa"/>
          </w:tcPr>
          <w:p w14:paraId="562BCF3B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R: TCC TGG TGG TGG TGA AGA AG</w:t>
            </w:r>
          </w:p>
        </w:tc>
        <w:tc>
          <w:tcPr>
            <w:tcW w:w="1700" w:type="dxa"/>
            <w:vMerge w:val="continue"/>
          </w:tcPr>
          <w:p w14:paraId="14CA74AD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2858" w:type="dxa"/>
            <w:vMerge w:val="continue"/>
          </w:tcPr>
          <w:p w14:paraId="4043D3BB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2583" w:type="dxa"/>
            <w:vMerge w:val="continue"/>
          </w:tcPr>
          <w:p w14:paraId="0739EAEC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</w:tr>
      <w:tr w14:paraId="437FD0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Merge w:val="restart"/>
            <w:vAlign w:val="center"/>
          </w:tcPr>
          <w:p w14:paraId="335A575F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Style w:val="7"/>
                <w:rFonts w:hint="default" w:ascii="Arial" w:hAnsi="Arial" w:eastAsia="Segoe UI" w:cs="Arial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GAPDH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776DFD04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F: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GGAGCGAGATCCCTCCAAAAT</w:t>
            </w:r>
          </w:p>
        </w:tc>
        <w:tc>
          <w:tcPr>
            <w:tcW w:w="1700" w:type="dxa"/>
            <w:vMerge w:val="restart"/>
            <w:vAlign w:val="center"/>
          </w:tcPr>
          <w:p w14:paraId="35FC5F89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197</w:t>
            </w:r>
          </w:p>
        </w:tc>
        <w:tc>
          <w:tcPr>
            <w:tcW w:w="2858" w:type="dxa"/>
            <w:vMerge w:val="restart"/>
            <w:vAlign w:val="center"/>
          </w:tcPr>
          <w:p w14:paraId="4D37903D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60</w:t>
            </w:r>
          </w:p>
        </w:tc>
        <w:tc>
          <w:tcPr>
            <w:tcW w:w="2583" w:type="dxa"/>
            <w:vMerge w:val="restart"/>
            <w:vAlign w:val="center"/>
          </w:tcPr>
          <w:p w14:paraId="4235D6DC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  <w:t>NM_002046.7</w:t>
            </w:r>
          </w:p>
        </w:tc>
      </w:tr>
      <w:tr w14:paraId="7892D0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Merge w:val="continue"/>
            <w:tcBorders>
              <w:bottom w:val="single" w:color="auto" w:sz="4" w:space="0"/>
            </w:tcBorders>
          </w:tcPr>
          <w:p w14:paraId="73D80EE3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3715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7529B66E">
            <w:pPr>
              <w:widowControl w:val="0"/>
              <w:spacing w:line="360" w:lineRule="auto"/>
              <w:ind w:left="0" w:leftChars="0" w:firstLine="0" w:firstLineChars="0"/>
              <w:jc w:val="center"/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Segoe UI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R: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GGCTGTTGTCATACTTCTCATGG</w:t>
            </w:r>
          </w:p>
        </w:tc>
        <w:tc>
          <w:tcPr>
            <w:tcW w:w="1700" w:type="dxa"/>
            <w:vMerge w:val="continue"/>
            <w:tcBorders>
              <w:bottom w:val="single" w:color="auto" w:sz="4" w:space="0"/>
            </w:tcBorders>
          </w:tcPr>
          <w:p w14:paraId="2609BF35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2858" w:type="dxa"/>
            <w:vMerge w:val="continue"/>
            <w:tcBorders>
              <w:bottom w:val="single" w:color="auto" w:sz="4" w:space="0"/>
            </w:tcBorders>
          </w:tcPr>
          <w:p w14:paraId="499F2E6A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  <w:tc>
          <w:tcPr>
            <w:tcW w:w="2583" w:type="dxa"/>
            <w:vMerge w:val="continue"/>
            <w:tcBorders>
              <w:bottom w:val="single" w:color="auto" w:sz="4" w:space="0"/>
            </w:tcBorders>
          </w:tcPr>
          <w:p w14:paraId="7FF3A1E4">
            <w:pPr>
              <w:widowControl w:val="0"/>
              <w:spacing w:line="360" w:lineRule="auto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vertAlign w:val="baseline"/>
              </w:rPr>
            </w:pPr>
          </w:p>
        </w:tc>
      </w:tr>
    </w:tbl>
    <w:p w14:paraId="41FB2128">
      <w:pPr>
        <w:spacing w:line="360" w:lineRule="auto"/>
        <w:ind w:firstLine="0" w:firstLineChars="0"/>
        <w:rPr>
          <w:rFonts w:hint="default" w:ascii="Arial" w:hAnsi="Arial" w:eastAsia="宋体" w:cs="Arial"/>
          <w:color w:val="auto"/>
          <w:sz w:val="20"/>
          <w:szCs w:val="20"/>
        </w:rPr>
      </w:pPr>
    </w:p>
    <w:p w14:paraId="6D1447CA">
      <w:pPr>
        <w:rPr>
          <w:rFonts w:hint="default" w:ascii="Arial" w:hAnsi="Arial" w:cs="Arial" w:eastAsiaTheme="minorEastAsia"/>
          <w:color w:val="auto"/>
          <w:sz w:val="20"/>
          <w:szCs w:val="20"/>
          <w:lang w:eastAsia="zh-CN"/>
        </w:rPr>
      </w:pPr>
    </w:p>
    <w:p w14:paraId="11646D69">
      <w:pPr>
        <w:rPr>
          <w:rFonts w:hint="default" w:ascii="Arial" w:hAnsi="Arial" w:cs="Arial" w:eastAsiaTheme="minorEastAsia"/>
          <w:color w:val="auto"/>
          <w:sz w:val="20"/>
          <w:szCs w:val="20"/>
          <w:lang w:eastAsia="zh-CN"/>
        </w:rPr>
      </w:pPr>
      <w:r>
        <w:rPr>
          <w:rFonts w:hint="default" w:ascii="Arial" w:hAnsi="Arial" w:cs="Arial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5267325" cy="3560445"/>
            <wp:effectExtent l="0" t="0" r="9525" b="1905"/>
            <wp:docPr id="4" name="图片 4" descr="补充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补充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48D7">
      <w:pPr>
        <w:rPr>
          <w:rFonts w:hint="eastAsia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</w:pPr>
      <w:r>
        <w:rPr>
          <w:rFonts w:hint="default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  <w:t xml:space="preserve">Supplementary Figure </w:t>
      </w:r>
      <w:r>
        <w:rPr>
          <w:rFonts w:hint="eastAsia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  <w:t>1 Quality control of training sets GSE76925 and GSE32537.</w:t>
      </w:r>
    </w:p>
    <w:p w14:paraId="3CE32E3F">
      <w:pPr>
        <w:rPr>
          <w:rFonts w:hint="default" w:ascii="Arial" w:hAnsi="Arial" w:cs="Arial" w:eastAsiaTheme="minorEastAsia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eastAsia" w:ascii="Arial" w:hAnsi="Arial" w:cs="Arial"/>
          <w:b w:val="0"/>
          <w:bCs w:val="0"/>
          <w:color w:val="auto"/>
          <w:sz w:val="20"/>
          <w:szCs w:val="20"/>
          <w:highlight w:val="none"/>
          <w:lang w:val="en-US" w:eastAsia="zh-CN"/>
        </w:rPr>
        <w:t>A-E, Sample expression distribution (A), hierarchical clustering of samples (B), sample correlation heatmap (C), principal component analysis (PCA) plot (D), and explained variance of PCA (E) in the GSE76925 dataset. F-J, Sample expression distribution (F), hierarchical clustering of samples (G), sample correlation heatmap (H), PCA plot (I), and explained variance of PCA (J) in the GSE32537 dataset.</w:t>
      </w:r>
    </w:p>
    <w:p w14:paraId="3269757D">
      <w:pPr>
        <w:rPr>
          <w:rFonts w:hint="default" w:ascii="Arial" w:hAnsi="Arial" w:cs="Arial" w:eastAsiaTheme="minorEastAsia"/>
          <w:color w:val="auto"/>
          <w:sz w:val="20"/>
          <w:szCs w:val="20"/>
          <w:lang w:eastAsia="zh-CN"/>
        </w:rPr>
      </w:pPr>
      <w:r>
        <w:rPr>
          <w:rFonts w:hint="default" w:ascii="Arial" w:hAnsi="Arial" w:cs="Arial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4434840" cy="2983865"/>
            <wp:effectExtent l="0" t="0" r="3810" b="6985"/>
            <wp:docPr id="3" name="图片 3" descr="补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补充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8CF2">
      <w:pPr>
        <w:keepNext w:val="0"/>
        <w:keepLines w:val="0"/>
        <w:pageBreakBefore w:val="0"/>
        <w:widowControl w:val="0"/>
        <w:tabs>
          <w:tab w:val="left" w:pos="3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  <w:t xml:space="preserve">Supplementary Figure </w:t>
      </w:r>
      <w:r>
        <w:rPr>
          <w:rFonts w:hint="eastAsia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  <w:t>2</w:t>
      </w:r>
      <w:r>
        <w:rPr>
          <w:rFonts w:hint="default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  <w:t>The VENN plot analysis revealed common genes between COPD module genes and IPF module genes.</w:t>
      </w:r>
    </w:p>
    <w:p w14:paraId="325AF1AE">
      <w:pPr>
        <w:rPr>
          <w:rFonts w:hint="default" w:ascii="Arial" w:hAnsi="Arial" w:cs="Arial" w:eastAsiaTheme="minorEastAsia"/>
          <w:color w:val="auto"/>
          <w:sz w:val="20"/>
          <w:szCs w:val="20"/>
          <w:lang w:eastAsia="zh-CN"/>
        </w:rPr>
      </w:pPr>
      <w:r>
        <w:rPr>
          <w:rFonts w:hint="default" w:ascii="Arial" w:hAnsi="Arial" w:cs="Arial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5269865" cy="3940810"/>
            <wp:effectExtent l="0" t="0" r="6985" b="2540"/>
            <wp:docPr id="2" name="图片 2" descr="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6A57">
      <w:pPr>
        <w:rPr>
          <w:rFonts w:hint="default" w:ascii="Arial" w:hAnsi="Arial" w:cs="Arial" w:eastAsiaTheme="minorEastAsia"/>
          <w:color w:val="auto"/>
          <w:sz w:val="20"/>
          <w:szCs w:val="20"/>
          <w:lang w:eastAsia="zh-CN"/>
        </w:rPr>
      </w:pPr>
    </w:p>
    <w:p w14:paraId="692C9435">
      <w:pPr>
        <w:rPr>
          <w:rFonts w:hint="default" w:ascii="Arial" w:hAnsi="Arial" w:cs="Arial" w:eastAsiaTheme="minorEastAsia"/>
          <w:color w:val="auto"/>
          <w:sz w:val="20"/>
          <w:szCs w:val="20"/>
          <w:highlight w:val="none"/>
          <w:lang w:val="en-US" w:eastAsia="zh-CN"/>
        </w:rPr>
      </w:pPr>
      <w:r>
        <w:rPr>
          <w:rFonts w:hint="default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  <w:t xml:space="preserve">Supplementary Figure </w:t>
      </w:r>
      <w:r>
        <w:rPr>
          <w:rFonts w:hint="eastAsia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  <w:t>3 The significant GO-BP, GO-CC and GO-MF functions assembled by module genes.</w:t>
      </w:r>
    </w:p>
    <w:p w14:paraId="58D298FB">
      <w:pPr>
        <w:keepNext w:val="0"/>
        <w:keepLines w:val="0"/>
        <w:pageBreakBefore w:val="0"/>
        <w:widowControl w:val="0"/>
        <w:tabs>
          <w:tab w:val="left" w:pos="3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</w:pPr>
    </w:p>
    <w:p w14:paraId="29FC7B14">
      <w:pPr>
        <w:keepNext w:val="0"/>
        <w:keepLines w:val="0"/>
        <w:pageBreakBefore w:val="0"/>
        <w:widowControl w:val="0"/>
        <w:tabs>
          <w:tab w:val="left" w:pos="3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5273675" cy="3708400"/>
            <wp:effectExtent l="0" t="0" r="3175" b="6350"/>
            <wp:docPr id="1" name="图片 1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863E">
      <w:pPr>
        <w:keepNext w:val="0"/>
        <w:keepLines w:val="0"/>
        <w:pageBreakBefore w:val="0"/>
        <w:widowControl w:val="0"/>
        <w:tabs>
          <w:tab w:val="left" w:pos="3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</w:pPr>
    </w:p>
    <w:p w14:paraId="695BF25C">
      <w:pPr>
        <w:keepNext w:val="0"/>
        <w:keepLines w:val="0"/>
        <w:pageBreakBefore w:val="0"/>
        <w:widowControl w:val="0"/>
        <w:tabs>
          <w:tab w:val="left" w:pos="3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 w:val="0"/>
          <w:bCs w:val="0"/>
          <w:color w:val="auto"/>
          <w:sz w:val="20"/>
          <w:szCs w:val="20"/>
          <w:highlight w:val="none"/>
          <w:lang w:val="en-US" w:eastAsia="zh-CN"/>
        </w:rPr>
      </w:pPr>
      <w:r>
        <w:rPr>
          <w:rFonts w:hint="default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  <w:t xml:space="preserve">Supplementary Figure </w:t>
      </w:r>
      <w:r>
        <w:rPr>
          <w:rFonts w:hint="eastAsia" w:ascii="Arial" w:hAnsi="Arial" w:cs="Arial"/>
          <w:b/>
          <w:bCs/>
          <w:color w:val="auto"/>
          <w:sz w:val="20"/>
          <w:szCs w:val="20"/>
          <w:highlight w:val="none"/>
          <w:lang w:val="en-US" w:eastAsia="zh-CN"/>
        </w:rPr>
        <w:t xml:space="preserve">4  ROC curves of characteristic genes. </w:t>
      </w:r>
      <w:r>
        <w:rPr>
          <w:rFonts w:hint="eastAsia" w:ascii="Arial" w:hAnsi="Arial" w:cs="Arial"/>
          <w:b w:val="0"/>
          <w:bCs w:val="0"/>
          <w:color w:val="auto"/>
          <w:sz w:val="20"/>
          <w:szCs w:val="20"/>
          <w:highlight w:val="none"/>
          <w:lang w:val="en-US" w:eastAsia="zh-CN"/>
        </w:rPr>
        <w:t>A, ROC curves of SULF1, ST8SIA1, and FCN3 in GSE76925 (COPD). B, ROC curves of SULF1, ST8SIA1, and FCN3 in GSE32537 (IPF).</w:t>
      </w:r>
      <w:bookmarkStart w:id="0" w:name="_GoBack"/>
      <w:bookmarkEnd w:id="0"/>
    </w:p>
    <w:p w14:paraId="28873596">
      <w:pPr>
        <w:keepNext w:val="0"/>
        <w:keepLines w:val="0"/>
        <w:pageBreakBefore w:val="0"/>
        <w:widowControl w:val="0"/>
        <w:tabs>
          <w:tab w:val="left" w:pos="3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</w:pPr>
    </w:p>
    <w:p w14:paraId="74DC4792">
      <w:pPr>
        <w:keepNext w:val="0"/>
        <w:keepLines w:val="0"/>
        <w:pageBreakBefore w:val="0"/>
        <w:widowControl w:val="0"/>
        <w:tabs>
          <w:tab w:val="left" w:pos="3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</w:pPr>
    </w:p>
    <w:p w14:paraId="6795ACC2">
      <w:pPr>
        <w:keepNext w:val="0"/>
        <w:keepLines w:val="0"/>
        <w:pageBreakBefore w:val="0"/>
        <w:widowControl w:val="0"/>
        <w:tabs>
          <w:tab w:val="left" w:pos="3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</w:pPr>
    </w:p>
    <w:p w14:paraId="7D3955AE">
      <w:pPr>
        <w:keepNext w:val="0"/>
        <w:keepLines w:val="0"/>
        <w:pageBreakBefore w:val="0"/>
        <w:widowControl w:val="0"/>
        <w:tabs>
          <w:tab w:val="left" w:pos="3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color w:val="auto"/>
          <w:sz w:val="20"/>
          <w:szCs w:val="2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2F50E1"/>
    <w:rsid w:val="1C8631CB"/>
    <w:rsid w:val="22C830B4"/>
    <w:rsid w:val="23170A59"/>
    <w:rsid w:val="2A2F50E1"/>
    <w:rsid w:val="2AF167FA"/>
    <w:rsid w:val="48895562"/>
    <w:rsid w:val="783B4504"/>
    <w:rsid w:val="7E50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160</Words>
  <Characters>756</Characters>
  <Lines>0</Lines>
  <Paragraphs>0</Paragraphs>
  <TotalTime>0</TotalTime>
  <ScaleCrop>false</ScaleCrop>
  <LinksUpToDate>false</LinksUpToDate>
  <CharactersWithSpaces>880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2025-05-01T06:30:00Z</dcterms:created>
  <dc:creator>Administrator</dc:creator>
  <cp:lastModifiedBy>Administrator</cp:lastModifiedBy>
  <dcterms:modified xsi:type="dcterms:W3CDTF">2025-10-22T02:02:12Z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43C1284D01C04ABE8CAB9EF566987B89_13</vt:lpwstr>
  </property>
  <property fmtid="{D5CDD505-2E9C-101B-9397-08002B2CF9AE}" pid="4" name="KSOTemplateDocerSaveRecord">
    <vt:lpwstr>eyJoZGlkIjoiMmZiZjA4OTYzMjUwNmY4OTBkYWFmZWQwZjJlOWQ4NTUiLCJ1c2VySWQiOiIyNzIyMDk4OTQifQ==</vt:lpwstr>
  </property>
</Properties>
</file>