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8C42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Supplementary Information</w:t>
      </w:r>
    </w:p>
    <w:p w14:paraId="7F670EF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Supplementary Table</w:t>
      </w:r>
      <w:r>
        <w:rPr>
          <w:rFonts w:hint="eastAsia" w:ascii="Times New Roman" w:hAnsi="Times New Roman" w:cs="Times New Roman"/>
          <w:lang w:val="en-US" w:eastAsia="zh-CN"/>
        </w:rPr>
        <w:t xml:space="preserve"> 1</w:t>
      </w:r>
      <w:r>
        <w:rPr>
          <w:rFonts w:hint="default" w:ascii="Times New Roman" w:hAnsi="Times New Roman" w:cs="Times New Roman"/>
        </w:rPr>
        <w:t>. 21 triaptosis-related genes (TRGs).</w:t>
      </w:r>
    </w:p>
    <w:tbl>
      <w:tblPr>
        <w:tblW w:w="676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5"/>
      </w:tblGrid>
      <w:tr w14:paraId="2B29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0D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PIK3C3</w:t>
            </w:r>
            <w:r>
              <w:rPr>
                <w:rStyle w:val="4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 xml:space="preserve"> (encodes class III PI 3-kinase VPS34)</w:t>
            </w:r>
          </w:p>
        </w:tc>
      </w:tr>
      <w:tr w14:paraId="2714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E6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PIK3R4</w:t>
            </w:r>
            <w:r>
              <w:rPr>
                <w:rStyle w:val="4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 xml:space="preserve"> (encodes VPS15)</w:t>
            </w:r>
          </w:p>
        </w:tc>
      </w:tr>
      <w:tr w14:paraId="1E06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53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MTM1</w:t>
            </w:r>
            <w:r>
              <w:rPr>
                <w:rStyle w:val="4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 xml:space="preserve"> (antagonist of VPS34 phosphatase)</w:t>
            </w:r>
          </w:p>
        </w:tc>
      </w:tr>
      <w:tr w14:paraId="2CE7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10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KEAP1</w:t>
            </w:r>
          </w:p>
        </w:tc>
      </w:tr>
      <w:tr w14:paraId="68FDB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76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NFE2L2</w:t>
            </w:r>
            <w:r>
              <w:rPr>
                <w:rStyle w:val="4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 xml:space="preserve"> (inhibited by KEAP1)</w:t>
            </w:r>
          </w:p>
        </w:tc>
      </w:tr>
      <w:tr w14:paraId="6034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B4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SH3GL3</w:t>
            </w:r>
            <w:r>
              <w:rPr>
                <w:rStyle w:val="4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 xml:space="preserve"> (mediates rapid endocytosis)</w:t>
            </w:r>
          </w:p>
        </w:tc>
      </w:tr>
      <w:tr w14:paraId="5A3B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4D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ELMO2</w:t>
            </w:r>
          </w:p>
        </w:tc>
      </w:tr>
      <w:tr w14:paraId="27100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E6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NCKAP1</w:t>
            </w:r>
          </w:p>
        </w:tc>
      </w:tr>
      <w:tr w14:paraId="662C5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6E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ACTN2</w:t>
            </w:r>
          </w:p>
        </w:tc>
      </w:tr>
      <w:tr w14:paraId="1A831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0D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KXD1</w:t>
            </w:r>
            <w:r>
              <w:rPr>
                <w:rStyle w:val="4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 xml:space="preserve"> (related to endocytosis)</w:t>
            </w:r>
          </w:p>
        </w:tc>
      </w:tr>
      <w:tr w14:paraId="6580C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F9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WDR91</w:t>
            </w:r>
          </w:p>
        </w:tc>
      </w:tr>
      <w:tr w14:paraId="5D91A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F4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FYCO1</w:t>
            </w:r>
          </w:p>
        </w:tc>
      </w:tr>
      <w:tr w14:paraId="2B95A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8E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RAB9A</w:t>
            </w:r>
          </w:p>
        </w:tc>
      </w:tr>
      <w:tr w14:paraId="3CD30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63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SCARB2</w:t>
            </w:r>
          </w:p>
        </w:tc>
      </w:tr>
      <w:tr w14:paraId="20187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F5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ANXA8</w:t>
            </w:r>
          </w:p>
        </w:tc>
      </w:tr>
      <w:tr w14:paraId="61CF3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B3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CLCN4</w:t>
            </w:r>
          </w:p>
        </w:tc>
      </w:tr>
      <w:tr w14:paraId="3EFEB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DC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ATP13A2</w:t>
            </w:r>
            <w:r>
              <w:rPr>
                <w:rStyle w:val="4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 xml:space="preserve"> (associated with late endosomes)</w:t>
            </w:r>
          </w:p>
        </w:tc>
      </w:tr>
      <w:tr w14:paraId="35114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45F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RAB7</w:t>
            </w:r>
          </w:p>
        </w:tc>
      </w:tr>
      <w:tr w14:paraId="4B988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A4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UVRAG</w:t>
            </w:r>
          </w:p>
        </w:tc>
      </w:tr>
      <w:tr w14:paraId="2E3EA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D4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BECN1</w:t>
            </w:r>
            <w:r>
              <w:rPr>
                <w:rStyle w:val="4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 xml:space="preserve"> (related to endosomal VPS34 complex II)</w:t>
            </w:r>
          </w:p>
        </w:tc>
      </w:tr>
      <w:tr w14:paraId="177CC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4C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RAB5A</w:t>
            </w:r>
            <w:r>
              <w:rPr>
                <w:rStyle w:val="4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 xml:space="preserve"> (recruits and activates VPS34 complex II)</w:t>
            </w:r>
          </w:p>
        </w:tc>
      </w:tr>
    </w:tbl>
    <w:p w14:paraId="5A28668B">
      <w:pPr>
        <w:rPr>
          <w:rFonts w:hint="default" w:ascii="Times New Roman" w:hAnsi="Times New Roman" w:cs="Times New Roman"/>
        </w:rPr>
      </w:pPr>
    </w:p>
    <w:p w14:paraId="0265089C">
      <w:pPr>
        <w:rPr>
          <w:rFonts w:hint="default" w:ascii="Times New Roman" w:hAnsi="Times New Roman" w:cs="Times New Roman"/>
        </w:rPr>
      </w:pPr>
    </w:p>
    <w:p w14:paraId="0C0CB14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Supplemental Figure 1. Evaluation of batch correction and triaptosis-related gene expression patterns across fibroblast subpopulations.</w:t>
      </w:r>
    </w:p>
    <w:p w14:paraId="590624F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(A) UMAP plot displaying all integrated cells color-coded by dataset source (self-sequencing vs. GSE163973), demonstrating effective batch correction and mixing of major cell types following Harmony integration.</w:t>
      </w:r>
    </w:p>
    <w:p w14:paraId="339E65A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(B) Bar graph summarizing the number of cells in each identified cell type across the two datasets, validating the consistency of cell type annotation and sample integration.</w:t>
      </w:r>
    </w:p>
    <w:p w14:paraId="46C9F24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(C) UMAP plots showing the expression patterns of selected triaptosis-related genes (TRGs) across fibroblast subpopulations, revealing transcriptional heterogeneity and suggesting diverse triaptosis signaling states within the fibroblast compartment.</w:t>
      </w:r>
    </w:p>
    <w:p w14:paraId="6E423765">
      <w:pPr>
        <w:rPr>
          <w:rFonts w:hint="default" w:ascii="Times New Roman" w:hAnsi="Times New Roman" w:cs="Times New Roman"/>
        </w:rPr>
      </w:pPr>
    </w:p>
    <w:p w14:paraId="63DEB99F">
      <w:pPr>
        <w:rPr>
          <w:rFonts w:hint="eastAsia" w:ascii="Times New Roman" w:hAnsi="Times New Roman" w:cs="Times New Roman" w:eastAsiaTheme="minorEastAsia"/>
          <w:lang w:eastAsia="zh-CN"/>
        </w:rPr>
      </w:pPr>
      <w:bookmarkStart w:id="0" w:name="_GoBack"/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273675" cy="6837045"/>
            <wp:effectExtent l="0" t="0" r="3175" b="1905"/>
            <wp:docPr id="1" name="图片 1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8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773FF"/>
    <w:rsid w:val="10F7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ascii="PingFang SC" w:hAnsi="PingFang SC" w:eastAsia="PingFang SC" w:cs="PingFang SC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2025-07-18T02:04:00Z</dcterms:created>
  <dc:creator>我爱生理生化病理病生内外妇儿</dc:creator>
  <cp:lastModifiedBy>我爱生理生化病理病生内外妇儿</cp:lastModifiedBy>
  <dcterms:modified xsi:type="dcterms:W3CDTF">2025-07-18T02:07:50Z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04C262AD8205416595B26BD5B36A24E6_11</vt:lpwstr>
  </property>
  <property fmtid="{D5CDD505-2E9C-101B-9397-08002B2CF9AE}" pid="4" name="KSOTemplateDocerSaveRecord">
    <vt:lpwstr>eyJoZGlkIjoiMzEwNTM5NzYwMDRjMzkwZTVkZjY2ODkwMGIxNGU0OTUiLCJ1c2VySWQiOiIyODcwMDYwNTMifQ==</vt:lpwstr>
  </property>
</Properties>
</file>