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6C952" w14:textId="37565DAB" w:rsidR="00512E4E" w:rsidRPr="00C244DE" w:rsidRDefault="00000000">
      <w:pPr>
        <w:pStyle w:val="Title2"/>
        <w:rPr>
          <w:rFonts w:eastAsiaTheme="minorEastAsia"/>
          <w:bCs/>
          <w:sz w:val="36"/>
          <w:szCs w:val="36"/>
        </w:rPr>
      </w:pPr>
      <w:bookmarkStart w:id="0" w:name="_Hlk168647145"/>
      <w:r w:rsidRPr="00C244DE">
        <w:rPr>
          <w:rFonts w:eastAsiaTheme="minorEastAsia" w:hint="eastAsia"/>
          <w:bCs/>
          <w:sz w:val="36"/>
          <w:szCs w:val="36"/>
        </w:rPr>
        <w:t xml:space="preserve">Supplementary </w:t>
      </w:r>
      <w:r w:rsidR="00C64FA3" w:rsidRPr="00C244DE">
        <w:rPr>
          <w:rFonts w:eastAsiaTheme="minorEastAsia" w:hint="eastAsia"/>
          <w:bCs/>
          <w:sz w:val="36"/>
          <w:szCs w:val="36"/>
        </w:rPr>
        <w:t>materials</w:t>
      </w:r>
    </w:p>
    <w:p w14:paraId="79262481" w14:textId="77777777" w:rsidR="00512E4E" w:rsidRPr="00C244DE" w:rsidRDefault="00000000">
      <w:pPr>
        <w:pStyle w:val="Title2"/>
      </w:pPr>
      <w:r w:rsidRPr="00C244DE">
        <w:t xml:space="preserve">Biomimetic </w:t>
      </w:r>
      <w:bookmarkEnd w:id="0"/>
      <w:r w:rsidRPr="00C244DE">
        <w:t>aggregation-induced emission luminogens mediated effective phototherapy and immune checkpoint blockade for the synergistic treatment of lung cancer</w:t>
      </w:r>
    </w:p>
    <w:p w14:paraId="47536146" w14:textId="77777777" w:rsidR="00512E4E" w:rsidRPr="00C244DE" w:rsidRDefault="00000000">
      <w:pPr>
        <w:spacing w:line="480" w:lineRule="auto"/>
        <w:rPr>
          <w:rFonts w:ascii="Times New Roman" w:eastAsia="DengXian" w:hAnsi="Times New Roman" w:cs="Times New Roman"/>
          <w:iCs/>
          <w:kern w:val="0"/>
          <w:sz w:val="24"/>
          <w:szCs w:val="24"/>
        </w:rPr>
      </w:pPr>
      <w:r w:rsidRPr="00C244DE">
        <w:rPr>
          <w:rFonts w:ascii="Times New Roman" w:hAnsi="Times New Roman"/>
          <w:b/>
          <w:bCs/>
          <w:sz w:val="24"/>
          <w:szCs w:val="24"/>
        </w:rPr>
        <w:t>Authors:</w:t>
      </w:r>
      <w:r w:rsidRPr="00C244DE">
        <w:rPr>
          <w:rFonts w:ascii="Times New Roman" w:hAnsi="Times New Roman"/>
          <w:sz w:val="24"/>
          <w:szCs w:val="24"/>
        </w:rPr>
        <w:t xml:space="preserve"> </w:t>
      </w:r>
      <w:bookmarkStart w:id="1" w:name="OLE_LINK2"/>
      <w:r w:rsidRPr="00C244DE">
        <w:rPr>
          <w:rFonts w:ascii="Times New Roman" w:eastAsia="MS Mincho" w:hAnsi="Times New Roman" w:cs="Times New Roman"/>
          <w:iCs/>
          <w:kern w:val="0"/>
          <w:sz w:val="24"/>
          <w:szCs w:val="24"/>
          <w:lang w:eastAsia="ja-JP"/>
        </w:rPr>
        <w:t>Langyu Yang</w:t>
      </w:r>
      <w:bookmarkStart w:id="2" w:name="_Hlk155635468"/>
      <w:bookmarkStart w:id="3" w:name="_Hlk195794873"/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 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  <w:vertAlign w:val="superscript"/>
        </w:rPr>
        <w:t xml:space="preserve">1, 2, </w:t>
      </w:r>
      <w:bookmarkEnd w:id="2"/>
      <w:bookmarkEnd w:id="3"/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>*</w:t>
      </w:r>
      <w:r w:rsidRPr="00C244DE">
        <w:rPr>
          <w:rFonts w:ascii="Times New Roman" w:eastAsia="MS Mincho" w:hAnsi="Times New Roman" w:cs="Times New Roman"/>
          <w:iCs/>
          <w:kern w:val="0"/>
          <w:sz w:val="24"/>
          <w:szCs w:val="24"/>
          <w:lang w:eastAsia="ja-JP"/>
        </w:rPr>
        <w:t>, Minyan Wei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 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  <w:vertAlign w:val="superscript"/>
        </w:rPr>
        <w:t xml:space="preserve">1, 2, 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>*</w:t>
      </w:r>
      <w:r w:rsidRPr="00C244DE">
        <w:rPr>
          <w:rFonts w:ascii="Times New Roman" w:eastAsia="MS Mincho" w:hAnsi="Times New Roman" w:cs="Times New Roman"/>
          <w:iCs/>
          <w:kern w:val="0"/>
          <w:sz w:val="24"/>
          <w:szCs w:val="24"/>
          <w:lang w:eastAsia="ja-JP"/>
        </w:rPr>
        <w:t xml:space="preserve">, 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Xiaohua Deng 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  <w:vertAlign w:val="superscript"/>
        </w:rPr>
        <w:t xml:space="preserve">1, 2, 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*, </w:t>
      </w:r>
      <w:r w:rsidRPr="00C244DE">
        <w:rPr>
          <w:rFonts w:ascii="Times New Roman" w:eastAsia="MS Mincho" w:hAnsi="Times New Roman" w:cs="Times New Roman"/>
          <w:iCs/>
          <w:kern w:val="0"/>
          <w:sz w:val="24"/>
          <w:szCs w:val="24"/>
          <w:lang w:eastAsia="ja-JP"/>
        </w:rPr>
        <w:t>Linlong He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 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  <w:vertAlign w:val="superscript"/>
        </w:rPr>
        <w:t>1, 2</w:t>
      </w:r>
      <w:r w:rsidRPr="00C244DE">
        <w:rPr>
          <w:rFonts w:ascii="Times New Roman" w:eastAsia="MS Mincho" w:hAnsi="Times New Roman" w:cs="Times New Roman"/>
          <w:iCs/>
          <w:kern w:val="0"/>
          <w:sz w:val="24"/>
          <w:szCs w:val="24"/>
          <w:lang w:eastAsia="ja-JP"/>
        </w:rPr>
        <w:t>, Yinshan Lin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 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  <w:vertAlign w:val="superscript"/>
        </w:rPr>
        <w:t>1, 2</w:t>
      </w:r>
      <w:r w:rsidRPr="00C244DE">
        <w:rPr>
          <w:rFonts w:ascii="Times New Roman" w:eastAsia="MS Mincho" w:hAnsi="Times New Roman" w:cs="Times New Roman"/>
          <w:iCs/>
          <w:kern w:val="0"/>
          <w:sz w:val="24"/>
          <w:szCs w:val="24"/>
          <w:lang w:eastAsia="ja-JP"/>
        </w:rPr>
        <w:t xml:space="preserve">, 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Xufeng Lin 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  <w:vertAlign w:val="superscript"/>
        </w:rPr>
        <w:t>2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, Dazhi Zhou 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  <w:vertAlign w:val="superscript"/>
        </w:rPr>
        <w:t>2</w:t>
      </w:r>
      <w:r w:rsidRPr="00C244DE">
        <w:rPr>
          <w:rFonts w:ascii="Times New Roman" w:eastAsia="MS Mincho" w:hAnsi="Times New Roman" w:cs="Times New Roman"/>
          <w:iCs/>
          <w:kern w:val="0"/>
          <w:sz w:val="24"/>
          <w:szCs w:val="24"/>
          <w:lang w:eastAsia="ja-JP"/>
        </w:rPr>
        <w:t xml:space="preserve">, 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Ming Li 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  <w:vertAlign w:val="superscript"/>
        </w:rPr>
        <w:t>3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, Aiping Qin 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  <w:vertAlign w:val="superscript"/>
        </w:rPr>
        <w:t>1, 2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, </w:t>
      </w:r>
      <w:r w:rsidRPr="00C244DE">
        <w:rPr>
          <w:rFonts w:ascii="Times New Roman" w:eastAsia="MS Mincho" w:hAnsi="Times New Roman" w:cs="Times New Roman"/>
          <w:iCs/>
          <w:kern w:val="0"/>
          <w:sz w:val="24"/>
          <w:szCs w:val="24"/>
          <w:lang w:eastAsia="ja-JP"/>
        </w:rPr>
        <w:t>Lingmin Zhang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 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  <w:vertAlign w:val="superscript"/>
        </w:rPr>
        <w:t>1, 2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>, Zizhang Ouyang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  <w:vertAlign w:val="superscript"/>
        </w:rPr>
        <w:t xml:space="preserve">1 </w:t>
      </w:r>
    </w:p>
    <w:bookmarkEnd w:id="1"/>
    <w:p w14:paraId="64C7905F" w14:textId="77777777" w:rsidR="00512E4E" w:rsidRPr="00C244DE" w:rsidRDefault="00000000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C244DE">
        <w:rPr>
          <w:rFonts w:ascii="Times New Roman" w:hAnsi="Times New Roman"/>
          <w:b/>
          <w:bCs/>
          <w:sz w:val="24"/>
          <w:szCs w:val="24"/>
        </w:rPr>
        <w:t>Affiliations:</w:t>
      </w:r>
    </w:p>
    <w:p w14:paraId="56FA7376" w14:textId="77777777" w:rsidR="00512E4E" w:rsidRPr="00C244DE" w:rsidRDefault="00000000">
      <w:pPr>
        <w:widowControl/>
        <w:spacing w:line="480" w:lineRule="auto"/>
        <w:jc w:val="left"/>
        <w:rPr>
          <w:rFonts w:ascii="Times New Roman" w:eastAsia="DengXian" w:hAnsi="Times New Roman" w:cs="Times New Roman"/>
          <w:iCs/>
          <w:kern w:val="0"/>
          <w:sz w:val="24"/>
          <w:szCs w:val="24"/>
        </w:rPr>
      </w:pPr>
      <w:bookmarkStart w:id="4" w:name="_Hlk195794763"/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  <w:vertAlign w:val="superscript"/>
        </w:rPr>
        <w:t>1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 </w:t>
      </w:r>
      <w:bookmarkEnd w:id="4"/>
      <w:r w:rsidRPr="00C244DE">
        <w:rPr>
          <w:rFonts w:ascii="Times New Roman" w:eastAsia="DengXian" w:hAnsi="Times New Roman" w:cs="Times New Roman"/>
          <w:iCs/>
          <w:kern w:val="0"/>
          <w:sz w:val="24"/>
          <w:szCs w:val="24"/>
        </w:rPr>
        <w:t>The Affiliated Qingyuan Hospital (Qingyuan People's Hospital), Guangzhou Medical University, Qingyuan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 511518, </w:t>
      </w:r>
      <w:r w:rsidRPr="00C244DE">
        <w:rPr>
          <w:rFonts w:ascii="Times New Roman" w:eastAsia="DengXian" w:hAnsi="Times New Roman" w:cs="Times New Roman"/>
          <w:iCs/>
          <w:kern w:val="0"/>
          <w:sz w:val="24"/>
          <w:szCs w:val="24"/>
        </w:rPr>
        <w:t>Guangdong, China</w:t>
      </w:r>
    </w:p>
    <w:p w14:paraId="612C65BC" w14:textId="77777777" w:rsidR="00512E4E" w:rsidRPr="00C244DE" w:rsidRDefault="00000000">
      <w:pPr>
        <w:widowControl/>
        <w:spacing w:line="480" w:lineRule="auto"/>
        <w:jc w:val="left"/>
        <w:rPr>
          <w:rFonts w:ascii="Times New Roman" w:eastAsia="DengXian" w:hAnsi="Times New Roman" w:cs="Times New Roman"/>
          <w:kern w:val="0"/>
          <w:sz w:val="24"/>
          <w:szCs w:val="24"/>
          <w:lang w:val="en-NZ"/>
        </w:rPr>
      </w:pP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  <w:vertAlign w:val="superscript"/>
        </w:rPr>
        <w:t>2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 </w:t>
      </w:r>
      <w:r w:rsidRPr="00C244DE">
        <w:rPr>
          <w:rFonts w:ascii="Times New Roman" w:eastAsia="DengXian" w:hAnsi="Times New Roman" w:cs="Times New Roman"/>
          <w:kern w:val="0"/>
          <w:sz w:val="24"/>
          <w:szCs w:val="24"/>
          <w:lang w:val="en-NZ"/>
        </w:rPr>
        <w:t>The Affiliated Panyu Central Hospital,</w:t>
      </w:r>
      <w:r w:rsidRPr="00C244DE">
        <w:rPr>
          <w:rFonts w:ascii="Times New Roman" w:eastAsia="DengXian" w:hAnsi="Times New Roman" w:cs="Times New Roman" w:hint="eastAsia"/>
          <w:kern w:val="0"/>
          <w:sz w:val="24"/>
          <w:szCs w:val="24"/>
          <w:lang w:val="en-NZ"/>
        </w:rPr>
        <w:t xml:space="preserve"> T</w:t>
      </w:r>
      <w:r w:rsidRPr="00C244DE">
        <w:rPr>
          <w:rFonts w:ascii="Times New Roman" w:eastAsia="MS Mincho" w:hAnsi="Times New Roman" w:cs="Times New Roman"/>
          <w:kern w:val="0"/>
          <w:sz w:val="24"/>
          <w:szCs w:val="24"/>
          <w:lang w:val="en-NZ"/>
        </w:rPr>
        <w:t>he Fifth Affiliated Hospital,</w:t>
      </w:r>
      <w:r w:rsidRPr="00C244DE">
        <w:rPr>
          <w:rFonts w:ascii="Times New Roman" w:eastAsia="DengXian" w:hAnsi="Times New Roman" w:cs="Times New Roman" w:hint="eastAsia"/>
          <w:kern w:val="0"/>
          <w:sz w:val="24"/>
          <w:szCs w:val="24"/>
          <w:lang w:val="en-NZ"/>
        </w:rPr>
        <w:t xml:space="preserve"> </w:t>
      </w:r>
      <w:r w:rsidRPr="00C244DE">
        <w:rPr>
          <w:rFonts w:ascii="Times New Roman" w:eastAsia="MS Mincho" w:hAnsi="Times New Roman" w:cs="Times New Roman"/>
          <w:kern w:val="0"/>
          <w:sz w:val="24"/>
          <w:szCs w:val="24"/>
          <w:lang w:val="en-NZ"/>
        </w:rPr>
        <w:t>Guangzhou Municipal and Guangdong Provincial Key Laboratory of Molecular Target &amp; Clinical Pharmacology, the NMPA and State Key Laboratory of Respiratory Disease, AIE Pharmaceutical Biology Innovation Research Center, School of Pharmaceutical Sciences</w:t>
      </w:r>
      <w:r w:rsidRPr="00C244DE">
        <w:rPr>
          <w:rFonts w:ascii="Times New Roman" w:eastAsia="DengXian" w:hAnsi="Times New Roman" w:cs="Times New Roman" w:hint="eastAsia"/>
          <w:kern w:val="0"/>
          <w:sz w:val="24"/>
          <w:szCs w:val="24"/>
          <w:lang w:val="en-NZ"/>
        </w:rPr>
        <w:t>,</w:t>
      </w:r>
      <w:r w:rsidRPr="00C244DE">
        <w:rPr>
          <w:rFonts w:ascii="Times New Roman" w:eastAsia="MS Mincho" w:hAnsi="Times New Roman" w:cs="Times New Roman"/>
          <w:kern w:val="0"/>
          <w:sz w:val="24"/>
          <w:szCs w:val="24"/>
          <w:lang w:val="en-NZ"/>
        </w:rPr>
        <w:t xml:space="preserve"> Guangzhou Medical University, Guangzhou 511436, China</w:t>
      </w:r>
    </w:p>
    <w:p w14:paraId="7F47BE67" w14:textId="77777777" w:rsidR="00512E4E" w:rsidRPr="00C244DE" w:rsidRDefault="00000000">
      <w:pPr>
        <w:widowControl/>
        <w:spacing w:line="480" w:lineRule="auto"/>
        <w:jc w:val="left"/>
        <w:rPr>
          <w:rFonts w:ascii="Times New Roman" w:eastAsia="DengXian" w:hAnsi="Times New Roman" w:cs="Times New Roman"/>
          <w:kern w:val="0"/>
          <w:sz w:val="24"/>
          <w:szCs w:val="24"/>
          <w:lang w:val="en-NZ"/>
        </w:rPr>
      </w:pP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  <w:vertAlign w:val="superscript"/>
        </w:rPr>
        <w:t>3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 </w:t>
      </w:r>
      <w:r w:rsidRPr="00C244DE">
        <w:rPr>
          <w:rFonts w:ascii="Times New Roman" w:eastAsia="DengXian" w:hAnsi="Times New Roman" w:cs="Times New Roman"/>
          <w:kern w:val="0"/>
          <w:sz w:val="24"/>
          <w:szCs w:val="24"/>
          <w:lang w:val="en-NZ"/>
        </w:rPr>
        <w:t>Medical Research Center, The Affiliated Guangdong Second Provincial General</w:t>
      </w:r>
      <w:r w:rsidRPr="00C244DE">
        <w:rPr>
          <w:rFonts w:ascii="Times New Roman" w:eastAsia="DengXian" w:hAnsi="Times New Roman" w:cs="Times New Roman" w:hint="eastAsia"/>
          <w:kern w:val="0"/>
          <w:sz w:val="24"/>
          <w:szCs w:val="24"/>
          <w:lang w:val="en-NZ"/>
        </w:rPr>
        <w:t xml:space="preserve"> </w:t>
      </w:r>
      <w:r w:rsidRPr="00C244DE">
        <w:rPr>
          <w:rFonts w:ascii="Times New Roman" w:eastAsia="DengXian" w:hAnsi="Times New Roman" w:cs="Times New Roman"/>
          <w:kern w:val="0"/>
          <w:sz w:val="24"/>
          <w:szCs w:val="24"/>
          <w:lang w:val="en-NZ"/>
        </w:rPr>
        <w:t>Hospital of Jinan University, Jinan University, Guangzhou, Guangdong, 510317,</w:t>
      </w:r>
    </w:p>
    <w:p w14:paraId="7E605ED7" w14:textId="77777777" w:rsidR="00512E4E" w:rsidRPr="00C244DE" w:rsidRDefault="00000000">
      <w:pPr>
        <w:widowControl/>
        <w:spacing w:line="480" w:lineRule="auto"/>
        <w:jc w:val="left"/>
        <w:rPr>
          <w:rFonts w:ascii="Times New Roman" w:eastAsia="DengXian" w:hAnsi="Times New Roman" w:cs="Times New Roman"/>
          <w:kern w:val="0"/>
          <w:sz w:val="24"/>
          <w:szCs w:val="24"/>
          <w:lang w:val="en-NZ"/>
        </w:rPr>
      </w:pPr>
      <w:r w:rsidRPr="00C244DE">
        <w:rPr>
          <w:rFonts w:ascii="Times New Roman" w:eastAsia="DengXian" w:hAnsi="Times New Roman" w:cs="Times New Roman"/>
          <w:kern w:val="0"/>
          <w:sz w:val="24"/>
          <w:szCs w:val="24"/>
          <w:lang w:val="en-NZ"/>
        </w:rPr>
        <w:t>China</w:t>
      </w:r>
    </w:p>
    <w:p w14:paraId="52234DD3" w14:textId="77777777" w:rsidR="00512E4E" w:rsidRPr="00C244DE" w:rsidRDefault="00000000">
      <w:pPr>
        <w:widowControl/>
        <w:spacing w:line="480" w:lineRule="auto"/>
        <w:jc w:val="left"/>
        <w:rPr>
          <w:rFonts w:ascii="Times New Roman" w:eastAsia="DengXian" w:hAnsi="Times New Roman" w:cs="Times New Roman"/>
          <w:kern w:val="0"/>
          <w:sz w:val="24"/>
          <w:szCs w:val="24"/>
          <w:lang w:val="en-NZ"/>
        </w:rPr>
      </w:pP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 xml:space="preserve">* The authors </w:t>
      </w:r>
      <w:r w:rsidRPr="00C244DE">
        <w:rPr>
          <w:rFonts w:ascii="Times New Roman" w:eastAsia="MS Mincho" w:hAnsi="Times New Roman" w:cs="Times New Roman"/>
          <w:iCs/>
          <w:kern w:val="0"/>
          <w:sz w:val="24"/>
          <w:szCs w:val="24"/>
          <w:lang w:eastAsia="ja-JP"/>
        </w:rPr>
        <w:t>contributed to th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>e</w:t>
      </w:r>
      <w:r w:rsidRPr="00C244DE">
        <w:rPr>
          <w:rFonts w:ascii="Times New Roman" w:eastAsia="MS Mincho" w:hAnsi="Times New Roman" w:cs="Times New Roman"/>
          <w:iCs/>
          <w:kern w:val="0"/>
          <w:sz w:val="24"/>
          <w:szCs w:val="24"/>
          <w:lang w:eastAsia="ja-JP"/>
        </w:rPr>
        <w:t xml:space="preserve"> work equally</w:t>
      </w:r>
      <w:r w:rsidRPr="00C244DE">
        <w:rPr>
          <w:rFonts w:ascii="Times New Roman" w:eastAsia="DengXian" w:hAnsi="Times New Roman" w:cs="Times New Roman" w:hint="eastAsia"/>
          <w:iCs/>
          <w:kern w:val="0"/>
          <w:sz w:val="24"/>
          <w:szCs w:val="24"/>
        </w:rPr>
        <w:t>.</w:t>
      </w:r>
    </w:p>
    <w:p w14:paraId="2F6D6AE6" w14:textId="77777777" w:rsidR="00512E4E" w:rsidRPr="00C244DE" w:rsidRDefault="00000000">
      <w:pPr>
        <w:widowControl/>
        <w:spacing w:line="480" w:lineRule="auto"/>
        <w:jc w:val="left"/>
        <w:rPr>
          <w:rFonts w:ascii="Times New Roman" w:eastAsia="DengXian" w:hAnsi="Times New Roman" w:cs="Times New Roman"/>
          <w:kern w:val="0"/>
          <w:sz w:val="24"/>
          <w:szCs w:val="24"/>
          <w:lang w:val="de-DE"/>
        </w:rPr>
      </w:pPr>
      <w:r w:rsidRPr="00C244DE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E-mail: </w:t>
      </w:r>
      <w:hyperlink r:id="rId6" w:history="1">
        <w:r w:rsidR="00512E4E" w:rsidRPr="00C244DE">
          <w:rPr>
            <w:rFonts w:ascii="Times New Roman" w:eastAsia="MS Mincho" w:hAnsi="Times New Roman" w:cs="Times New Roman"/>
            <w:kern w:val="0"/>
            <w:sz w:val="24"/>
            <w:szCs w:val="24"/>
            <w:lang w:val="de-DE" w:eastAsia="ja-JP"/>
          </w:rPr>
          <w:t>zhanglm@gzhmu.edu.cn</w:t>
        </w:r>
      </w:hyperlink>
      <w:r w:rsidRPr="00C244DE">
        <w:rPr>
          <w:rFonts w:ascii="Times New Roman" w:eastAsia="DengXian" w:hAnsi="Times New Roman" w:cs="Times New Roman" w:hint="eastAsia"/>
          <w:kern w:val="0"/>
          <w:sz w:val="24"/>
          <w:szCs w:val="24"/>
          <w:lang w:val="de-DE"/>
        </w:rPr>
        <w:t xml:space="preserve"> (Lingmin Zhang)</w:t>
      </w:r>
      <w:r w:rsidRPr="00C244DE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;</w:t>
      </w:r>
      <w:r w:rsidRPr="00C244DE">
        <w:rPr>
          <w:rFonts w:ascii="Times New Roman" w:eastAsia="DengXian" w:hAnsi="Times New Roman" w:cs="Times New Roman" w:hint="eastAsia"/>
          <w:kern w:val="0"/>
          <w:sz w:val="24"/>
          <w:szCs w:val="24"/>
          <w:lang w:val="de-DE"/>
        </w:rPr>
        <w:t xml:space="preserve"> </w:t>
      </w:r>
      <w:r w:rsidRPr="00C244DE">
        <w:rPr>
          <w:rFonts w:ascii="Times New Roman" w:eastAsia="DengXian" w:hAnsi="Times New Roman" w:cs="Times New Roman"/>
          <w:kern w:val="0"/>
          <w:sz w:val="24"/>
          <w:szCs w:val="24"/>
          <w:lang w:val="de-DE"/>
        </w:rPr>
        <w:t>2019695272@gzhmu.edu.cn</w:t>
      </w:r>
      <w:r w:rsidRPr="00C244DE">
        <w:rPr>
          <w:rFonts w:ascii="Times New Roman" w:eastAsia="DengXian" w:hAnsi="Times New Roman" w:cs="Times New Roman" w:hint="eastAsia"/>
          <w:kern w:val="0"/>
          <w:sz w:val="24"/>
          <w:szCs w:val="24"/>
          <w:lang w:val="de-DE"/>
        </w:rPr>
        <w:t xml:space="preserve"> (Z</w:t>
      </w:r>
      <w:r w:rsidRPr="00C244DE">
        <w:rPr>
          <w:rFonts w:ascii="Times New Roman" w:eastAsia="DengXian" w:hAnsi="Times New Roman" w:cs="Times New Roman"/>
          <w:kern w:val="0"/>
          <w:sz w:val="24"/>
          <w:szCs w:val="24"/>
          <w:lang w:val="de-DE"/>
        </w:rPr>
        <w:t>izhang Ouyang</w:t>
      </w:r>
      <w:r w:rsidRPr="00C244DE">
        <w:rPr>
          <w:rFonts w:ascii="Times New Roman" w:eastAsia="DengXian" w:hAnsi="Times New Roman" w:cs="Times New Roman" w:hint="eastAsia"/>
          <w:kern w:val="0"/>
          <w:sz w:val="24"/>
          <w:szCs w:val="24"/>
          <w:lang w:val="de-DE"/>
        </w:rPr>
        <w:t>)</w:t>
      </w:r>
    </w:p>
    <w:p w14:paraId="13AACBD4" w14:textId="77777777" w:rsidR="00512E4E" w:rsidRPr="00C244DE" w:rsidRDefault="00512E4E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1A5A486E" w14:textId="77777777" w:rsidR="00512E4E" w:rsidRPr="00C244DE" w:rsidRDefault="00512E4E">
      <w:pPr>
        <w:spacing w:line="48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14:paraId="14995138" w14:textId="77777777" w:rsidR="00512E4E" w:rsidRPr="00C244DE" w:rsidRDefault="00000000">
      <w:r w:rsidRPr="00C244DE">
        <w:rPr>
          <w:rFonts w:hint="eastAsia"/>
          <w:noProof/>
        </w:rPr>
        <w:drawing>
          <wp:inline distT="0" distB="0" distL="0" distR="0" wp14:anchorId="384BC29E" wp14:editId="4D75EE94">
            <wp:extent cx="5264150" cy="1587500"/>
            <wp:effectExtent l="0" t="0" r="0" b="0"/>
            <wp:docPr id="538672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72976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DA018" w14:textId="77777777" w:rsidR="00512E4E" w:rsidRPr="00C244DE" w:rsidRDefault="00000000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bookmarkStart w:id="5" w:name="_Hlk174116878"/>
      <w:r w:rsidRPr="00C244DE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Figure S1 </w:t>
      </w:r>
      <w:bookmarkEnd w:id="5"/>
      <w:r w:rsidRPr="00C244DE">
        <w:rPr>
          <w:rFonts w:ascii="Times New Roman" w:eastAsia="SimSun" w:hAnsi="Times New Roman" w:cs="Times New Roman"/>
          <w:sz w:val="24"/>
          <w:szCs w:val="24"/>
        </w:rPr>
        <w:t>FACS analysis of the markers in different cells</w:t>
      </w:r>
      <w:r w:rsidRPr="00C244DE">
        <w:rPr>
          <w:rFonts w:ascii="Times New Roman" w:eastAsia="SimSun" w:hAnsi="Times New Roman" w:cs="Times New Roman" w:hint="eastAsia"/>
          <w:sz w:val="24"/>
          <w:szCs w:val="24"/>
        </w:rPr>
        <w:t>. (A) T cells. (B) CD8</w:t>
      </w:r>
      <w:r w:rsidRPr="00C244DE">
        <w:rPr>
          <w:rFonts w:ascii="Times New Roman" w:eastAsia="SimSun" w:hAnsi="Times New Roman" w:cs="Times New Roman"/>
          <w:sz w:val="24"/>
          <w:szCs w:val="24"/>
          <w:vertAlign w:val="superscript"/>
        </w:rPr>
        <w:t>+</w:t>
      </w:r>
      <w:r w:rsidRPr="00C244DE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 xml:space="preserve"> </w:t>
      </w:r>
      <w:r w:rsidRPr="00C244DE">
        <w:rPr>
          <w:rFonts w:ascii="Times New Roman" w:eastAsia="SimSun" w:hAnsi="Times New Roman" w:cs="Times New Roman" w:hint="eastAsia"/>
          <w:sz w:val="24"/>
          <w:szCs w:val="24"/>
        </w:rPr>
        <w:t>T cells. (C) CD8</w:t>
      </w:r>
      <w:r w:rsidRPr="00C244DE">
        <w:rPr>
          <w:rFonts w:ascii="Times New Roman" w:eastAsia="SimSun" w:hAnsi="Times New Roman" w:cs="Times New Roman"/>
          <w:sz w:val="24"/>
          <w:szCs w:val="24"/>
          <w:vertAlign w:val="superscript"/>
        </w:rPr>
        <w:t>+</w:t>
      </w:r>
      <w:r w:rsidRPr="00C244DE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 xml:space="preserve"> </w:t>
      </w:r>
      <w:r w:rsidRPr="00C244DE">
        <w:rPr>
          <w:rFonts w:ascii="Times New Roman" w:eastAsia="SimSun" w:hAnsi="Times New Roman" w:cs="Times New Roman" w:hint="eastAsia"/>
          <w:sz w:val="24"/>
          <w:szCs w:val="24"/>
        </w:rPr>
        <w:t xml:space="preserve">T cells overexpressed with PD-1. </w:t>
      </w:r>
      <w:r w:rsidRPr="00C244DE">
        <w:rPr>
          <w:rFonts w:ascii="Times New Roman" w:eastAsia="SimSun" w:hAnsi="Times New Roman" w:cs="Times New Roman"/>
          <w:sz w:val="24"/>
          <w:szCs w:val="24"/>
        </w:rPr>
        <w:t>Flow cytometric plots to show the expression of CD4, CD8, PD</w:t>
      </w:r>
      <w:r w:rsidRPr="00C244DE">
        <w:rPr>
          <w:rFonts w:ascii="Times New Roman" w:eastAsia="SimSun" w:hAnsi="Times New Roman" w:cs="Times New Roman" w:hint="eastAsia"/>
          <w:sz w:val="24"/>
          <w:szCs w:val="24"/>
        </w:rPr>
        <w:t>-</w:t>
      </w:r>
      <w:r w:rsidRPr="00C244DE">
        <w:rPr>
          <w:rFonts w:ascii="Times New Roman" w:eastAsia="SimSun" w:hAnsi="Times New Roman" w:cs="Times New Roman"/>
          <w:sz w:val="24"/>
          <w:szCs w:val="24"/>
        </w:rPr>
        <w:t>1, CD45</w:t>
      </w:r>
      <w:r w:rsidRPr="00C244DE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Pr="00C244DE">
        <w:rPr>
          <w:rFonts w:ascii="Times New Roman" w:eastAsia="SimSun" w:hAnsi="Times New Roman" w:cs="Times New Roman"/>
          <w:sz w:val="24"/>
          <w:szCs w:val="24"/>
        </w:rPr>
        <w:t xml:space="preserve"> and CD3 on T cells harvested from mice.</w:t>
      </w:r>
    </w:p>
    <w:p w14:paraId="63838EE2" w14:textId="77777777" w:rsidR="00512E4E" w:rsidRPr="00C244DE" w:rsidRDefault="00512E4E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490D6FF5" w14:textId="77777777" w:rsidR="00512E4E" w:rsidRPr="00C244DE" w:rsidRDefault="00000000">
      <w:pPr>
        <w:spacing w:line="480" w:lineRule="auto"/>
        <w:jc w:val="center"/>
      </w:pPr>
      <w:r w:rsidRPr="00C244DE">
        <w:rPr>
          <w:noProof/>
        </w:rPr>
        <w:drawing>
          <wp:inline distT="0" distB="0" distL="0" distR="0" wp14:anchorId="404E9309" wp14:editId="216B8FFF">
            <wp:extent cx="3435350" cy="1977390"/>
            <wp:effectExtent l="0" t="0" r="0" b="3810"/>
            <wp:docPr id="2435466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46602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6634" cy="198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CED83" w14:textId="77777777" w:rsidR="00512E4E" w:rsidRPr="00C244DE" w:rsidRDefault="00000000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C244DE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Figure S2 </w:t>
      </w:r>
      <w:r w:rsidRPr="00C244DE">
        <w:rPr>
          <w:rFonts w:ascii="Times New Roman" w:eastAsia="SimSun" w:hAnsi="Times New Roman" w:cs="Times New Roman"/>
          <w:sz w:val="24"/>
          <w:szCs w:val="24"/>
        </w:rPr>
        <w:t xml:space="preserve">FACS analysis of the markers in </w:t>
      </w:r>
      <w:r w:rsidRPr="00C244DE">
        <w:rPr>
          <w:rFonts w:ascii="Times New Roman" w:eastAsia="SimSun" w:hAnsi="Times New Roman" w:cs="Times New Roman" w:hint="eastAsia"/>
          <w:sz w:val="24"/>
          <w:szCs w:val="24"/>
        </w:rPr>
        <w:t>CD8</w:t>
      </w:r>
      <w:r w:rsidRPr="00C244DE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>+</w:t>
      </w:r>
      <w:r w:rsidRPr="00C244DE">
        <w:rPr>
          <w:rFonts w:ascii="Times New Roman" w:eastAsia="SimSun" w:hAnsi="Times New Roman" w:cs="Times New Roman" w:hint="eastAsia"/>
          <w:sz w:val="24"/>
          <w:szCs w:val="24"/>
        </w:rPr>
        <w:t xml:space="preserve"> T cells. A) Wild type CD8</w:t>
      </w:r>
      <w:r w:rsidRPr="00C244DE">
        <w:rPr>
          <w:rFonts w:ascii="Times New Roman" w:eastAsia="SimSun" w:hAnsi="Times New Roman" w:cs="Times New Roman"/>
          <w:sz w:val="24"/>
          <w:szCs w:val="24"/>
          <w:vertAlign w:val="superscript"/>
        </w:rPr>
        <w:t>+</w:t>
      </w:r>
      <w:r w:rsidRPr="00C244DE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 xml:space="preserve"> </w:t>
      </w:r>
      <w:r w:rsidRPr="00C244DE">
        <w:rPr>
          <w:rFonts w:ascii="Times New Roman" w:eastAsia="SimSun" w:hAnsi="Times New Roman" w:cs="Times New Roman" w:hint="eastAsia"/>
          <w:sz w:val="24"/>
          <w:szCs w:val="24"/>
        </w:rPr>
        <w:t>T cells. B) PD-1 activated cells.</w:t>
      </w:r>
    </w:p>
    <w:p w14:paraId="70807674" w14:textId="77777777" w:rsidR="00512E4E" w:rsidRPr="00C244DE" w:rsidRDefault="00512E4E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0B4D455E" w14:textId="77777777" w:rsidR="00512E4E" w:rsidRPr="00C244DE" w:rsidRDefault="00000000">
      <w:pPr>
        <w:spacing w:line="48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C244DE"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inline distT="0" distB="0" distL="114300" distR="114300" wp14:anchorId="367FE74E" wp14:editId="63D9619E">
            <wp:extent cx="2258695" cy="2538730"/>
            <wp:effectExtent l="0" t="0" r="0" b="0"/>
            <wp:docPr id="1" name="图片 1" descr="单线态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单线态氧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D921" w14:textId="77777777" w:rsidR="00512E4E" w:rsidRPr="00C244DE" w:rsidRDefault="00000000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bookmarkStart w:id="6" w:name="OLE_LINK3"/>
      <w:r w:rsidRPr="00C244DE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Figure S3 </w:t>
      </w:r>
      <w:r w:rsidRPr="00C244DE">
        <w:rPr>
          <w:rFonts w:ascii="Times New Roman" w:eastAsia="SimSun" w:hAnsi="Times New Roman" w:cs="Times New Roman" w:hint="eastAsia"/>
          <w:sz w:val="24"/>
          <w:szCs w:val="24"/>
        </w:rPr>
        <w:t>Photodynamic properties of different TB nanoparticles in solution detected by single-linear oxygen SOSG probe.</w:t>
      </w:r>
    </w:p>
    <w:p w14:paraId="54188062" w14:textId="77777777" w:rsidR="00512E4E" w:rsidRPr="00C244DE" w:rsidRDefault="00512E4E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4B020EAF" w14:textId="77777777" w:rsidR="00512E4E" w:rsidRPr="00C244DE" w:rsidRDefault="00000000">
      <w:pPr>
        <w:spacing w:line="48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C244DE">
        <w:rPr>
          <w:rFonts w:ascii="Times New Roman" w:eastAsia="SimSun" w:hAnsi="Times New Roman" w:cs="Times New Roman" w:hint="eastAsia"/>
          <w:noProof/>
          <w:sz w:val="24"/>
          <w:szCs w:val="24"/>
        </w:rPr>
        <w:drawing>
          <wp:inline distT="0" distB="0" distL="114300" distR="114300" wp14:anchorId="2582D2C7" wp14:editId="26DCD0BF">
            <wp:extent cx="5064125" cy="1313180"/>
            <wp:effectExtent l="0" t="0" r="3175" b="7620"/>
            <wp:docPr id="2" name="图片 2" descr="光照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光照数据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A3CAC" w14:textId="3348DE25" w:rsidR="00512E4E" w:rsidRPr="00C244DE" w:rsidRDefault="00000000">
      <w:pPr>
        <w:spacing w:line="480" w:lineRule="auto"/>
        <w:rPr>
          <w:rFonts w:eastAsia="SimSun"/>
          <w:sz w:val="24"/>
          <w:szCs w:val="24"/>
        </w:rPr>
      </w:pPr>
      <w:bookmarkStart w:id="7" w:name="OLE_LINK4"/>
      <w:bookmarkEnd w:id="6"/>
      <w:r w:rsidRPr="00C244DE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Figure S4 </w:t>
      </w:r>
      <w:r w:rsidRPr="00C244DE">
        <w:rPr>
          <w:rFonts w:ascii="Times New Roman" w:eastAsia="SimSun" w:hAnsi="Times New Roman" w:cs="Times New Roman" w:hint="eastAsia"/>
          <w:sz w:val="24"/>
          <w:szCs w:val="24"/>
        </w:rPr>
        <w:t>The infrared thermal imager observed the temperature changes of different components of BITT in the solution.</w:t>
      </w:r>
      <w:r w:rsidR="00ED7D40" w:rsidRPr="00C244DE">
        <w:rPr>
          <w:rFonts w:ascii="Times New Roman" w:eastAsia="SimSun" w:hAnsi="Times New Roman" w:cs="Times New Roman" w:hint="eastAsia"/>
          <w:sz w:val="24"/>
          <w:szCs w:val="24"/>
        </w:rPr>
        <w:t xml:space="preserve"> The white arrow</w:t>
      </w:r>
      <w:r w:rsidR="00011D8D" w:rsidRPr="00C244DE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8E77BA" w:rsidRPr="00C244DE">
        <w:rPr>
          <w:rFonts w:ascii="Times New Roman" w:eastAsia="SimSun" w:hAnsi="Times New Roman" w:cs="Times New Roman" w:hint="eastAsia"/>
          <w:sz w:val="24"/>
          <w:szCs w:val="24"/>
        </w:rPr>
        <w:t>represent</w:t>
      </w:r>
      <w:r w:rsidR="00932828" w:rsidRPr="00C244DE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ED7D40" w:rsidRPr="00C244DE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011D8D" w:rsidRPr="00C244DE">
        <w:rPr>
          <w:rFonts w:ascii="Times New Roman" w:eastAsia="SimSun" w:hAnsi="Times New Roman" w:cs="Times New Roman" w:hint="eastAsia"/>
          <w:sz w:val="24"/>
          <w:szCs w:val="24"/>
        </w:rPr>
        <w:t xml:space="preserve">the location of </w:t>
      </w:r>
      <w:r w:rsidR="00DC0D0D" w:rsidRPr="00C244DE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="00ED7D40" w:rsidRPr="00C244DE">
        <w:rPr>
          <w:rFonts w:ascii="Times New Roman" w:eastAsia="SimSun" w:hAnsi="Times New Roman" w:cs="Times New Roman" w:hint="eastAsia"/>
          <w:sz w:val="24"/>
          <w:szCs w:val="24"/>
        </w:rPr>
        <w:t>sample.</w:t>
      </w:r>
    </w:p>
    <w:bookmarkEnd w:id="7"/>
    <w:p w14:paraId="22F657F2" w14:textId="77777777" w:rsidR="00512E4E" w:rsidRPr="00C244DE" w:rsidRDefault="00512E4E">
      <w:pPr>
        <w:spacing w:line="480" w:lineRule="auto"/>
      </w:pPr>
    </w:p>
    <w:p w14:paraId="5F98A100" w14:textId="77777777" w:rsidR="00512E4E" w:rsidRPr="00C244DE" w:rsidRDefault="00512E4E">
      <w:pPr>
        <w:spacing w:line="480" w:lineRule="auto"/>
        <w:jc w:val="center"/>
      </w:pPr>
    </w:p>
    <w:p w14:paraId="7D655EC7" w14:textId="77777777" w:rsidR="00512E4E" w:rsidRPr="00C244DE" w:rsidRDefault="00000000">
      <w:pPr>
        <w:spacing w:line="480" w:lineRule="auto"/>
        <w:jc w:val="center"/>
      </w:pPr>
      <w:r w:rsidRPr="00C244DE">
        <w:rPr>
          <w:noProof/>
        </w:rPr>
        <w:drawing>
          <wp:inline distT="0" distB="0" distL="0" distR="0" wp14:anchorId="0040E890" wp14:editId="55268021">
            <wp:extent cx="3841115" cy="2777490"/>
            <wp:effectExtent l="0" t="0" r="6985" b="3810"/>
            <wp:docPr id="19764883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88320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5809" cy="278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FA12" w14:textId="77777777" w:rsidR="00512E4E" w:rsidRPr="00C244DE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8" w:name="OLE_LINK1"/>
      <w:r w:rsidRPr="00C244DE">
        <w:rPr>
          <w:rFonts w:ascii="Times New Roman" w:eastAsia="SimSun" w:hAnsi="Times New Roman" w:cs="Times New Roman" w:hint="eastAsia"/>
          <w:b/>
          <w:bCs/>
          <w:sz w:val="24"/>
          <w:szCs w:val="24"/>
        </w:rPr>
        <w:t>Figure S</w:t>
      </w:r>
      <w:bookmarkEnd w:id="8"/>
      <w:r w:rsidRPr="00C244DE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5 </w:t>
      </w:r>
      <w:r w:rsidRPr="00C244DE">
        <w:rPr>
          <w:rFonts w:ascii="Times New Roman" w:hAnsi="Times New Roman" w:cs="Times New Roman" w:hint="eastAsia"/>
          <w:sz w:val="24"/>
          <w:szCs w:val="24"/>
        </w:rPr>
        <w:t>CLSM</w:t>
      </w:r>
      <w:r w:rsidRPr="00C244DE">
        <w:rPr>
          <w:rFonts w:ascii="Times New Roman" w:hAnsi="Times New Roman" w:cs="Times New Roman"/>
          <w:sz w:val="24"/>
          <w:szCs w:val="24"/>
        </w:rPr>
        <w:t xml:space="preserve"> analysis of LLC cells treated with BITT</w:t>
      </w:r>
      <w:r w:rsidRPr="00C244DE">
        <w:rPr>
          <w:rFonts w:ascii="Times New Roman" w:hAnsi="Times New Roman" w:cs="Times New Roman" w:hint="eastAsia"/>
          <w:sz w:val="24"/>
          <w:szCs w:val="24"/>
        </w:rPr>
        <w:t>-</w:t>
      </w:r>
      <w:r w:rsidRPr="00C244DE">
        <w:rPr>
          <w:rFonts w:ascii="Times New Roman" w:hAnsi="Times New Roman" w:cs="Times New Roman"/>
          <w:sz w:val="24"/>
          <w:szCs w:val="24"/>
        </w:rPr>
        <w:t xml:space="preserve">based nanoparticles for </w:t>
      </w:r>
      <w:r w:rsidRPr="00C244DE">
        <w:rPr>
          <w:rFonts w:ascii="Times New Roman" w:hAnsi="Times New Roman" w:cs="Times New Roman" w:hint="eastAsia"/>
          <w:sz w:val="24"/>
          <w:szCs w:val="24"/>
        </w:rPr>
        <w:t>9</w:t>
      </w:r>
      <w:r w:rsidRPr="00C244DE">
        <w:rPr>
          <w:rFonts w:ascii="Times New Roman" w:hAnsi="Times New Roman" w:cs="Times New Roman"/>
          <w:sz w:val="24"/>
          <w:szCs w:val="24"/>
        </w:rPr>
        <w:t xml:space="preserve"> h. Cell nuclei were stained with Hoechst (blue).</w:t>
      </w:r>
    </w:p>
    <w:p w14:paraId="42134F18" w14:textId="77777777" w:rsidR="00512E4E" w:rsidRPr="00C244DE" w:rsidRDefault="00512E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9CE1B4A" w14:textId="77777777" w:rsidR="00512E4E" w:rsidRPr="00C244DE" w:rsidRDefault="00000000">
      <w:pPr>
        <w:spacing w:line="480" w:lineRule="auto"/>
        <w:jc w:val="center"/>
      </w:pPr>
      <w:r w:rsidRPr="00C244DE">
        <w:rPr>
          <w:noProof/>
        </w:rPr>
        <w:drawing>
          <wp:inline distT="0" distB="0" distL="0" distR="0" wp14:anchorId="410E4516" wp14:editId="5B7D2FB6">
            <wp:extent cx="3886200" cy="2288540"/>
            <wp:effectExtent l="0" t="0" r="0" b="0"/>
            <wp:docPr id="11131161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16125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4706" cy="229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E256" w14:textId="77777777" w:rsidR="00512E4E" w:rsidRPr="00C244DE" w:rsidRDefault="00000000">
      <w:pPr>
        <w:spacing w:line="480" w:lineRule="auto"/>
      </w:pPr>
      <w:r w:rsidRPr="00C244DE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Figure S6 </w:t>
      </w:r>
      <w:r w:rsidRPr="00C244DE">
        <w:rPr>
          <w:rFonts w:ascii="Times New Roman" w:eastAsia="SimSun" w:hAnsi="Times New Roman" w:cs="Times New Roman"/>
          <w:sz w:val="24"/>
          <w:szCs w:val="24"/>
        </w:rPr>
        <w:t xml:space="preserve">FACS analysis of the markers in </w:t>
      </w:r>
      <w:r w:rsidRPr="00C244DE">
        <w:rPr>
          <w:rFonts w:ascii="Times New Roman" w:eastAsia="SimSun" w:hAnsi="Times New Roman" w:cs="Times New Roman" w:hint="eastAsia"/>
          <w:sz w:val="24"/>
          <w:szCs w:val="24"/>
        </w:rPr>
        <w:t xml:space="preserve">LLC cells. (A) </w:t>
      </w:r>
      <w:r w:rsidRPr="00C244DE">
        <w:rPr>
          <w:rFonts w:ascii="Times New Roman" w:eastAsia="SimSun" w:hAnsi="Times New Roman" w:cs="Times New Roman"/>
          <w:sz w:val="24"/>
          <w:szCs w:val="24"/>
        </w:rPr>
        <w:t xml:space="preserve">LLC cells </w:t>
      </w:r>
      <w:r w:rsidRPr="00C244DE">
        <w:rPr>
          <w:rFonts w:ascii="Times New Roman" w:eastAsia="SimSun" w:hAnsi="Times New Roman" w:cs="Times New Roman" w:hint="eastAsia"/>
          <w:sz w:val="24"/>
          <w:szCs w:val="24"/>
        </w:rPr>
        <w:t>without staining. (B) LLC cells labeled with PD-L1 and TTF1.</w:t>
      </w:r>
    </w:p>
    <w:p w14:paraId="776CF234" w14:textId="77777777" w:rsidR="00512E4E" w:rsidRPr="00C244DE" w:rsidRDefault="00512E4E">
      <w:pPr>
        <w:spacing w:line="480" w:lineRule="auto"/>
      </w:pPr>
    </w:p>
    <w:p w14:paraId="2994A390" w14:textId="77777777" w:rsidR="00512E4E" w:rsidRPr="00C244DE" w:rsidRDefault="00512E4E">
      <w:pPr>
        <w:spacing w:line="480" w:lineRule="auto"/>
      </w:pPr>
    </w:p>
    <w:p w14:paraId="465389BA" w14:textId="77777777" w:rsidR="00512E4E" w:rsidRPr="00C244DE" w:rsidRDefault="00512E4E">
      <w:pPr>
        <w:spacing w:line="480" w:lineRule="auto"/>
      </w:pPr>
    </w:p>
    <w:p w14:paraId="0DD78A2D" w14:textId="77777777" w:rsidR="00512E4E" w:rsidRPr="00C244DE" w:rsidRDefault="00512E4E">
      <w:pPr>
        <w:spacing w:line="480" w:lineRule="auto"/>
      </w:pPr>
    </w:p>
    <w:p w14:paraId="20DC9F84" w14:textId="77777777" w:rsidR="00512E4E" w:rsidRPr="00C244DE" w:rsidRDefault="00000000">
      <w:pPr>
        <w:spacing w:line="480" w:lineRule="auto"/>
        <w:jc w:val="center"/>
      </w:pPr>
      <w:r w:rsidRPr="00C244DE">
        <w:rPr>
          <w:rFonts w:hint="eastAsia"/>
          <w:noProof/>
        </w:rPr>
        <w:drawing>
          <wp:inline distT="0" distB="0" distL="114300" distR="114300" wp14:anchorId="6C9C4756" wp14:editId="42698F80">
            <wp:extent cx="3491865" cy="3599815"/>
            <wp:effectExtent l="0" t="0" r="635" b="6985"/>
            <wp:docPr id="3" name="图片 3" descr="C:/Users/langy/Desktop/改稿/返修/阻断剂-1.tif阻断剂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angy/Desktop/改稿/返修/阻断剂-1.tif阻断剂-1"/>
                    <pic:cNvPicPr>
                      <a:picLocks noChangeAspect="1"/>
                    </pic:cNvPicPr>
                  </pic:nvPicPr>
                  <pic:blipFill>
                    <a:blip r:embed="rId13"/>
                    <a:srcRect t="409" b="409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4326" w14:textId="77777777" w:rsidR="00512E4E" w:rsidRPr="00C244DE" w:rsidRDefault="00000000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C244DE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Figure S7 </w:t>
      </w:r>
      <w:r w:rsidRPr="00C244DE">
        <w:rPr>
          <w:rFonts w:ascii="Times New Roman" w:eastAsia="SimSun" w:hAnsi="Times New Roman" w:cs="Times New Roman" w:hint="eastAsia"/>
          <w:sz w:val="24"/>
          <w:szCs w:val="24"/>
        </w:rPr>
        <w:t>CLSM observed the effect of BMS-1 on the uptake of different BITT components by LLC cells.</w:t>
      </w:r>
    </w:p>
    <w:p w14:paraId="187CEB7D" w14:textId="77777777" w:rsidR="00512E4E" w:rsidRPr="00C244DE" w:rsidRDefault="00512E4E">
      <w:pPr>
        <w:spacing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B62D65B" w14:textId="77777777" w:rsidR="00512E4E" w:rsidRPr="00C244DE" w:rsidRDefault="00000000">
      <w:pPr>
        <w:spacing w:line="480" w:lineRule="auto"/>
        <w:jc w:val="center"/>
      </w:pPr>
      <w:r w:rsidRPr="00C244DE">
        <w:rPr>
          <w:noProof/>
        </w:rPr>
        <w:drawing>
          <wp:inline distT="0" distB="0" distL="0" distR="0" wp14:anchorId="66B2F2A5" wp14:editId="7A139947">
            <wp:extent cx="3823335" cy="3054985"/>
            <wp:effectExtent l="0" t="0" r="5715" b="0"/>
            <wp:docPr id="147703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03980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395" cy="306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2085" w14:textId="77777777" w:rsidR="00512E4E" w:rsidRPr="00C244DE" w:rsidRDefault="00000000">
      <w:pPr>
        <w:spacing w:line="480" w:lineRule="auto"/>
        <w:rPr>
          <w:rFonts w:ascii="Times New Roman" w:eastAsia="DengXian" w:hAnsi="Times New Roman" w:cs="Times New Roman"/>
          <w:kern w:val="0"/>
          <w:sz w:val="24"/>
          <w:szCs w:val="24"/>
        </w:rPr>
      </w:pPr>
      <w:r w:rsidRPr="00C244DE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Figure S8 </w:t>
      </w:r>
      <w:r w:rsidRPr="00C244DE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Pharmacokinetics of TB and BITT (BITT: 1 mg/kg) on LLC tumor</w:t>
      </w:r>
      <w:r w:rsidRPr="00C244DE">
        <w:rPr>
          <w:rFonts w:ascii="Times New Roman" w:hAnsi="Times New Roman" w:cs="Times New Roman" w:hint="eastAsia"/>
          <w:kern w:val="0"/>
          <w:sz w:val="24"/>
          <w:szCs w:val="24"/>
        </w:rPr>
        <w:t>-</w:t>
      </w:r>
      <w:r w:rsidRPr="00C244DE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bearing mice after intravenous injection. </w:t>
      </w:r>
      <w:r w:rsidRPr="00C244DE">
        <w:rPr>
          <w:rFonts w:ascii="Times New Roman" w:hAnsi="Times New Roman" w:cs="Times New Roman" w:hint="eastAsia"/>
          <w:kern w:val="0"/>
          <w:sz w:val="24"/>
          <w:szCs w:val="24"/>
        </w:rPr>
        <w:t>*</w:t>
      </w:r>
      <w:r w:rsidRPr="00C244DE">
        <w:rPr>
          <w:rFonts w:ascii="Times New Roman" w:eastAsia="DengXian" w:hAnsi="Times New Roman" w:cs="Times New Roman" w:hint="cs"/>
          <w:kern w:val="0"/>
          <w:sz w:val="24"/>
          <w:szCs w:val="24"/>
        </w:rPr>
        <w:t xml:space="preserve"> </w:t>
      </w:r>
      <w:r w:rsidRPr="00C244DE">
        <w:rPr>
          <w:rFonts w:ascii="Times New Roman" w:eastAsia="DengXian" w:hAnsi="Times New Roman" w:cs="Times New Roman"/>
          <w:i/>
          <w:iCs/>
          <w:kern w:val="0"/>
          <w:sz w:val="24"/>
          <w:szCs w:val="24"/>
        </w:rPr>
        <w:t>P</w:t>
      </w:r>
      <w:r w:rsidRPr="00C244DE">
        <w:rPr>
          <w:rFonts w:ascii="Times New Roman" w:eastAsia="DengXian" w:hAnsi="Times New Roman" w:cs="Times New Roman"/>
          <w:kern w:val="0"/>
          <w:sz w:val="24"/>
          <w:szCs w:val="24"/>
        </w:rPr>
        <w:t>&lt;0.05</w:t>
      </w:r>
      <w:r w:rsidRPr="00C244DE">
        <w:rPr>
          <w:rFonts w:ascii="Times New Roman" w:eastAsia="DengXian" w:hAnsi="Times New Roman" w:cs="Times New Roman" w:hint="eastAsia"/>
          <w:kern w:val="0"/>
          <w:sz w:val="24"/>
          <w:szCs w:val="24"/>
        </w:rPr>
        <w:t>.</w:t>
      </w:r>
    </w:p>
    <w:p w14:paraId="70DA88BF" w14:textId="77777777" w:rsidR="00512E4E" w:rsidRPr="00C244DE" w:rsidRDefault="00512E4E">
      <w:pPr>
        <w:spacing w:line="480" w:lineRule="auto"/>
        <w:jc w:val="left"/>
        <w:rPr>
          <w:rFonts w:ascii="Times New Roman" w:eastAsia="DengXian" w:hAnsi="Times New Roman" w:cs="Times New Roman"/>
          <w:kern w:val="0"/>
          <w:sz w:val="24"/>
          <w:szCs w:val="24"/>
        </w:rPr>
      </w:pPr>
    </w:p>
    <w:p w14:paraId="0ABCFFF3" w14:textId="77777777" w:rsidR="00512E4E" w:rsidRPr="00C244DE" w:rsidRDefault="00000000">
      <w:pPr>
        <w:spacing w:line="480" w:lineRule="auto"/>
        <w:jc w:val="center"/>
        <w:rPr>
          <w:rFonts w:ascii="Times New Roman" w:eastAsia="DengXian" w:hAnsi="Times New Roman" w:cs="Times New Roman"/>
          <w:kern w:val="0"/>
          <w:sz w:val="24"/>
          <w:szCs w:val="24"/>
        </w:rPr>
      </w:pPr>
      <w:r w:rsidRPr="00C244DE">
        <w:rPr>
          <w:rFonts w:ascii="Times New Roman" w:eastAsia="DengXi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CEC23DD" wp14:editId="6A28C4DA">
            <wp:extent cx="4452620" cy="1598295"/>
            <wp:effectExtent l="0" t="0" r="5080" b="1905"/>
            <wp:docPr id="3675564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56479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64" cy="160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3CACC" w14:textId="013376AD" w:rsidR="00512E4E" w:rsidRPr="00C244DE" w:rsidRDefault="00000000">
      <w:pPr>
        <w:spacing w:line="480" w:lineRule="auto"/>
        <w:rPr>
          <w:rFonts w:ascii="Times New Roman" w:eastAsia="DengXian" w:hAnsi="Times New Roman" w:cs="Times New Roman"/>
          <w:kern w:val="0"/>
          <w:sz w:val="24"/>
          <w:szCs w:val="24"/>
        </w:rPr>
      </w:pPr>
      <w:r w:rsidRPr="00C244DE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Figure S9 </w:t>
      </w:r>
      <w:r w:rsidRPr="00C244DE">
        <w:rPr>
          <w:rFonts w:ascii="Times New Roman" w:eastAsia="DengXian" w:hAnsi="Times New Roman" w:cs="Times New Roman"/>
          <w:kern w:val="0"/>
          <w:sz w:val="24"/>
          <w:szCs w:val="24"/>
        </w:rPr>
        <w:t xml:space="preserve">Thermal imaging </w:t>
      </w:r>
      <w:r w:rsidRPr="00C244DE">
        <w:rPr>
          <w:rFonts w:ascii="Times New Roman" w:eastAsia="DengXian" w:hAnsi="Times New Roman" w:cs="Times New Roman" w:hint="eastAsia"/>
          <w:kern w:val="0"/>
          <w:sz w:val="24"/>
          <w:szCs w:val="24"/>
        </w:rPr>
        <w:t>on the tumor-bearing mice</w:t>
      </w:r>
      <w:r w:rsidRPr="00C244DE">
        <w:rPr>
          <w:rFonts w:ascii="Times New Roman" w:eastAsia="DengXian" w:hAnsi="Times New Roman" w:cs="Times New Roman"/>
          <w:kern w:val="0"/>
          <w:sz w:val="24"/>
          <w:szCs w:val="24"/>
        </w:rPr>
        <w:t>.</w:t>
      </w:r>
      <w:r w:rsidRPr="00C244DE">
        <w:rPr>
          <w:rFonts w:ascii="Times New Roman" w:eastAsia="DengXian" w:hAnsi="Times New Roman" w:cs="Times New Roman" w:hint="eastAsia"/>
          <w:kern w:val="0"/>
          <w:sz w:val="24"/>
          <w:szCs w:val="24"/>
        </w:rPr>
        <w:t xml:space="preserve"> The </w:t>
      </w:r>
      <w:r w:rsidRPr="00C244DE">
        <w:rPr>
          <w:rFonts w:ascii="Times New Roman" w:eastAsia="DengXian" w:hAnsi="Times New Roman" w:cs="Times New Roman"/>
          <w:kern w:val="0"/>
          <w:sz w:val="24"/>
          <w:szCs w:val="24"/>
        </w:rPr>
        <w:t>tumor</w:t>
      </w:r>
      <w:r w:rsidRPr="00C244DE">
        <w:rPr>
          <w:rFonts w:ascii="Times New Roman" w:eastAsia="DengXian" w:hAnsi="Times New Roman" w:cs="Times New Roman" w:hint="eastAsia"/>
          <w:kern w:val="0"/>
          <w:sz w:val="24"/>
          <w:szCs w:val="24"/>
        </w:rPr>
        <w:t>-</w:t>
      </w:r>
      <w:r w:rsidRPr="00C244DE">
        <w:rPr>
          <w:rFonts w:ascii="Times New Roman" w:eastAsia="DengXian" w:hAnsi="Times New Roman" w:cs="Times New Roman"/>
          <w:kern w:val="0"/>
          <w:sz w:val="24"/>
          <w:szCs w:val="24"/>
        </w:rPr>
        <w:t>bearing mice were administrated with PBS, BITT</w:t>
      </w:r>
      <w:r w:rsidRPr="00C244DE">
        <w:rPr>
          <w:rFonts w:ascii="Times New Roman" w:eastAsia="DengXian" w:hAnsi="Times New Roman" w:cs="Times New Roman" w:hint="eastAsia"/>
          <w:kern w:val="0"/>
          <w:sz w:val="24"/>
          <w:szCs w:val="24"/>
        </w:rPr>
        <w:t>,</w:t>
      </w:r>
      <w:r w:rsidRPr="00C244DE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and TB (1 mg/kg BITT) via the intravenous injections, respectively. At 12 h after administration, the tumor sites</w:t>
      </w:r>
      <w:r w:rsidRPr="00C244DE">
        <w:rPr>
          <w:rFonts w:ascii="Times New Roman" w:eastAsia="DengXian" w:hAnsi="Times New Roman" w:cs="Times New Roman" w:hint="eastAsia"/>
          <w:kern w:val="0"/>
          <w:sz w:val="24"/>
          <w:szCs w:val="24"/>
        </w:rPr>
        <w:t xml:space="preserve"> </w:t>
      </w:r>
      <w:r w:rsidRPr="00C244DE">
        <w:rPr>
          <w:rFonts w:ascii="Times New Roman" w:eastAsia="DengXian" w:hAnsi="Times New Roman" w:cs="Times New Roman"/>
          <w:kern w:val="0"/>
          <w:sz w:val="24"/>
          <w:szCs w:val="24"/>
        </w:rPr>
        <w:t xml:space="preserve">were exposed to a laser irradiation (658 nm, </w:t>
      </w:r>
      <w:r w:rsidRPr="00C244DE">
        <w:rPr>
          <w:rFonts w:ascii="Times New Roman" w:eastAsia="DengXian" w:hAnsi="Times New Roman" w:cs="Times New Roman" w:hint="eastAsia"/>
          <w:kern w:val="0"/>
          <w:sz w:val="24"/>
          <w:szCs w:val="24"/>
        </w:rPr>
        <w:t>2</w:t>
      </w:r>
      <w:r w:rsidRPr="00C244DE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W∙cm</w:t>
      </w:r>
      <w:r w:rsidRPr="00C244DE"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>-2</w:t>
      </w:r>
      <w:r w:rsidRPr="00C244DE">
        <w:rPr>
          <w:rFonts w:ascii="Times New Roman" w:eastAsia="DengXian" w:hAnsi="Times New Roman" w:cs="Times New Roman"/>
          <w:kern w:val="0"/>
          <w:sz w:val="24"/>
          <w:szCs w:val="24"/>
        </w:rPr>
        <w:t>) for 10 min.</w:t>
      </w:r>
      <w:r w:rsidR="00656C30" w:rsidRPr="00C244DE">
        <w:rPr>
          <w:rFonts w:ascii="Times New Roman" w:eastAsia="DengXian" w:hAnsi="Times New Roman" w:cs="Times New Roman" w:hint="eastAsia"/>
          <w:kern w:val="0"/>
          <w:sz w:val="24"/>
          <w:szCs w:val="24"/>
        </w:rPr>
        <w:t xml:space="preserve"> </w:t>
      </w:r>
      <w:bookmarkStart w:id="9" w:name="_Hlk205299439"/>
      <w:r w:rsidR="00656C30" w:rsidRPr="00C244DE">
        <w:rPr>
          <w:rFonts w:ascii="Times New Roman" w:eastAsia="DengXian" w:hAnsi="Times New Roman" w:cs="Times New Roman" w:hint="eastAsia"/>
          <w:kern w:val="0"/>
          <w:sz w:val="24"/>
          <w:szCs w:val="24"/>
        </w:rPr>
        <w:t>The white arrow represented the tumor site.</w:t>
      </w:r>
      <w:bookmarkEnd w:id="9"/>
    </w:p>
    <w:p w14:paraId="7F77AC74" w14:textId="77777777" w:rsidR="00512E4E" w:rsidRPr="00C244DE" w:rsidRDefault="00512E4E">
      <w:pPr>
        <w:spacing w:line="480" w:lineRule="auto"/>
        <w:jc w:val="left"/>
        <w:rPr>
          <w:rFonts w:ascii="Times New Roman" w:eastAsia="DengXian" w:hAnsi="Times New Roman" w:cs="Times New Roman"/>
          <w:kern w:val="0"/>
          <w:sz w:val="24"/>
          <w:szCs w:val="24"/>
        </w:rPr>
      </w:pPr>
    </w:p>
    <w:p w14:paraId="2D1FCEC2" w14:textId="77777777" w:rsidR="00512E4E" w:rsidRPr="00C244DE" w:rsidRDefault="00512E4E">
      <w:pPr>
        <w:spacing w:line="480" w:lineRule="auto"/>
        <w:jc w:val="left"/>
      </w:pPr>
    </w:p>
    <w:sectPr w:rsidR="00512E4E" w:rsidRPr="00C244DE">
      <w:footerReference w:type="even" r:id="rId16"/>
      <w:footerReference w:type="defaul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5AA32" w14:textId="77777777" w:rsidR="00470128" w:rsidRDefault="00470128">
      <w:r>
        <w:separator/>
      </w:r>
    </w:p>
  </w:endnote>
  <w:endnote w:type="continuationSeparator" w:id="0">
    <w:p w14:paraId="068D3200" w14:textId="77777777" w:rsidR="00470128" w:rsidRDefault="00470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ckwell">
    <w:altName w:val="FT Thymes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B0E08" w14:textId="65C3362D" w:rsidR="00C244DE" w:rsidRDefault="00C244D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D0247CC" wp14:editId="030EC56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8355" cy="325755"/>
              <wp:effectExtent l="0" t="0" r="17145" b="0"/>
              <wp:wrapNone/>
              <wp:docPr id="561374126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835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2B6A30" w14:textId="16958F9A" w:rsidR="00C244DE" w:rsidRPr="00C244DE" w:rsidRDefault="00C244DE" w:rsidP="00C244D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244D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0247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65pt;height:25.6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422B6A30" w14:textId="16958F9A" w:rsidR="00C244DE" w:rsidRPr="00C244DE" w:rsidRDefault="00C244DE" w:rsidP="00C244D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244D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2D334" w14:textId="6E207FF6" w:rsidR="00512E4E" w:rsidRDefault="00C244DE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FD9F840" wp14:editId="79616AD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8355" cy="325755"/>
              <wp:effectExtent l="0" t="0" r="17145" b="0"/>
              <wp:wrapNone/>
              <wp:docPr id="417812159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835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2367D1" w14:textId="41528BD3" w:rsidR="00C244DE" w:rsidRPr="00C244DE" w:rsidRDefault="00C244DE" w:rsidP="00C244D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244D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D9F84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65pt;height:25.6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382367D1" w14:textId="41528BD3" w:rsidR="00C244DE" w:rsidRPr="00C244DE" w:rsidRDefault="00C244DE" w:rsidP="00C244D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244D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1060288583"/>
    </w:sdtPr>
    <w:sdtContent>
      <w:p w14:paraId="3EE2D334" w14:textId="6E207FF6" w:rsidR="00512E4E" w:rsidRDefault="0000000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ECD3A93" w14:textId="77777777" w:rsidR="00512E4E" w:rsidRDefault="00512E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CCA24" w14:textId="6EE8A005" w:rsidR="00C244DE" w:rsidRDefault="00C244D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D4FC352" wp14:editId="7A08A1A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8355" cy="325755"/>
              <wp:effectExtent l="0" t="0" r="17145" b="0"/>
              <wp:wrapNone/>
              <wp:docPr id="185120372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835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B665E9" w14:textId="00706959" w:rsidR="00C244DE" w:rsidRPr="00C244DE" w:rsidRDefault="00C244DE" w:rsidP="00C244D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244D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4FC3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65pt;height:25.6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50B665E9" w14:textId="00706959" w:rsidR="00C244DE" w:rsidRPr="00C244DE" w:rsidRDefault="00C244DE" w:rsidP="00C244D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244D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FB416" w14:textId="77777777" w:rsidR="00470128" w:rsidRDefault="00470128">
      <w:r>
        <w:separator/>
      </w:r>
    </w:p>
  </w:footnote>
  <w:footnote w:type="continuationSeparator" w:id="0">
    <w:p w14:paraId="5A3F5AA1" w14:textId="77777777" w:rsidR="00470128" w:rsidRDefault="004701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M2ZDFjNjQ1NTIwNjdjYzBjZjYxNmVjZGEyMGMyMjMifQ=="/>
  </w:docVars>
  <w:rsids>
    <w:rsidRoot w:val="00666A95"/>
    <w:rsid w:val="000030E1"/>
    <w:rsid w:val="00011D8D"/>
    <w:rsid w:val="00022EA3"/>
    <w:rsid w:val="00027F28"/>
    <w:rsid w:val="00046F8F"/>
    <w:rsid w:val="000672A9"/>
    <w:rsid w:val="000D1E2A"/>
    <w:rsid w:val="00120F44"/>
    <w:rsid w:val="0012628C"/>
    <w:rsid w:val="00126A5D"/>
    <w:rsid w:val="001A68CE"/>
    <w:rsid w:val="001D3C24"/>
    <w:rsid w:val="00240CC0"/>
    <w:rsid w:val="0024501E"/>
    <w:rsid w:val="00285D43"/>
    <w:rsid w:val="002B3285"/>
    <w:rsid w:val="002D6972"/>
    <w:rsid w:val="002E57F5"/>
    <w:rsid w:val="002F4631"/>
    <w:rsid w:val="00322EE9"/>
    <w:rsid w:val="00361FBF"/>
    <w:rsid w:val="00386FE3"/>
    <w:rsid w:val="00394CCC"/>
    <w:rsid w:val="003D5714"/>
    <w:rsid w:val="003D6AA1"/>
    <w:rsid w:val="003D6EB0"/>
    <w:rsid w:val="00400C45"/>
    <w:rsid w:val="00470128"/>
    <w:rsid w:val="00484AF5"/>
    <w:rsid w:val="00490CEE"/>
    <w:rsid w:val="004A49E8"/>
    <w:rsid w:val="00512E4E"/>
    <w:rsid w:val="005312F8"/>
    <w:rsid w:val="005B0E4D"/>
    <w:rsid w:val="005D71EA"/>
    <w:rsid w:val="00642B4E"/>
    <w:rsid w:val="00656C30"/>
    <w:rsid w:val="006662EF"/>
    <w:rsid w:val="00666A95"/>
    <w:rsid w:val="0068197E"/>
    <w:rsid w:val="006A44CE"/>
    <w:rsid w:val="006A5A31"/>
    <w:rsid w:val="006E6F04"/>
    <w:rsid w:val="00741848"/>
    <w:rsid w:val="00744DDC"/>
    <w:rsid w:val="00745E72"/>
    <w:rsid w:val="007612CD"/>
    <w:rsid w:val="00773B90"/>
    <w:rsid w:val="007928FD"/>
    <w:rsid w:val="007E4BA0"/>
    <w:rsid w:val="00832F5C"/>
    <w:rsid w:val="00891A61"/>
    <w:rsid w:val="008A6007"/>
    <w:rsid w:val="008E77BA"/>
    <w:rsid w:val="0091644F"/>
    <w:rsid w:val="00932828"/>
    <w:rsid w:val="009C3D41"/>
    <w:rsid w:val="009C4232"/>
    <w:rsid w:val="009F2D7A"/>
    <w:rsid w:val="00A40E1C"/>
    <w:rsid w:val="00A5794A"/>
    <w:rsid w:val="00A714E3"/>
    <w:rsid w:val="00AB4558"/>
    <w:rsid w:val="00AF4400"/>
    <w:rsid w:val="00B13354"/>
    <w:rsid w:val="00B15835"/>
    <w:rsid w:val="00B20B88"/>
    <w:rsid w:val="00B642EF"/>
    <w:rsid w:val="00BA5F46"/>
    <w:rsid w:val="00BE2CAE"/>
    <w:rsid w:val="00C244DE"/>
    <w:rsid w:val="00C36A63"/>
    <w:rsid w:val="00C64FA3"/>
    <w:rsid w:val="00C72042"/>
    <w:rsid w:val="00C836F7"/>
    <w:rsid w:val="00CD6D8D"/>
    <w:rsid w:val="00CE67A6"/>
    <w:rsid w:val="00D03B3D"/>
    <w:rsid w:val="00D2303F"/>
    <w:rsid w:val="00D504D6"/>
    <w:rsid w:val="00DC0D0D"/>
    <w:rsid w:val="00DE1662"/>
    <w:rsid w:val="00E02624"/>
    <w:rsid w:val="00E2712D"/>
    <w:rsid w:val="00EA0DE2"/>
    <w:rsid w:val="00EC229B"/>
    <w:rsid w:val="00ED6C37"/>
    <w:rsid w:val="00ED7D40"/>
    <w:rsid w:val="00F1477E"/>
    <w:rsid w:val="00F51FF2"/>
    <w:rsid w:val="00F57630"/>
    <w:rsid w:val="00FA1267"/>
    <w:rsid w:val="00FB1F6E"/>
    <w:rsid w:val="00FB5D01"/>
    <w:rsid w:val="1C13511C"/>
    <w:rsid w:val="232B131D"/>
    <w:rsid w:val="240478AA"/>
    <w:rsid w:val="254072B6"/>
    <w:rsid w:val="2BB9229F"/>
    <w:rsid w:val="2FB83A61"/>
    <w:rsid w:val="508D3F01"/>
    <w:rsid w:val="677B3D0F"/>
    <w:rsid w:val="6E1A478E"/>
    <w:rsid w:val="7447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66B7DD"/>
  <w15:docId w15:val="{292ADC2B-C74A-4D25-9F81-3A9E300A9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autoRedefine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autoRedefine/>
    <w:uiPriority w:val="99"/>
    <w:qFormat/>
    <w:rPr>
      <w:sz w:val="18"/>
      <w:szCs w:val="18"/>
    </w:rPr>
  </w:style>
  <w:style w:type="paragraph" w:customStyle="1" w:styleId="Title2">
    <w:name w:val="Title2"/>
    <w:basedOn w:val="Normal"/>
    <w:autoRedefine/>
    <w:qFormat/>
    <w:pPr>
      <w:spacing w:line="480" w:lineRule="auto"/>
    </w:pPr>
    <w:rPr>
      <w:rFonts w:ascii="Times New Roman" w:eastAsia="DengXian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zhanglm@gzhmu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409</Words>
  <Characters>2333</Characters>
  <Application>Microsoft Office Word</Application>
  <DocSecurity>0</DocSecurity>
  <Lines>19</Lines>
  <Paragraphs>5</Paragraphs>
  <ScaleCrop>false</ScaleCrop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 Dannile</dc:creator>
  <cp:lastModifiedBy>Khanapur, Soumya</cp:lastModifiedBy>
  <cp:revision>36</cp:revision>
  <dcterms:created xsi:type="dcterms:W3CDTF">2024-04-09T02:33:00Z</dcterms:created>
  <dcterms:modified xsi:type="dcterms:W3CDTF">2025-08-13T01:03:00Z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988878027447437987563F3B0BABF756_13</vt:lpwstr>
  </property>
  <property fmtid="{D5CDD505-2E9C-101B-9397-08002B2CF9AE}" pid="4" name="ClassificationContentMarkingFooterShapeIds">
    <vt:lpwstr>6e57208d,2175e3ae,18e74ebf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2025-08-13T01:03:57Z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800b3821-bea1-4d38-a6b5-3a95ed2a30b0</vt:lpwstr>
  </property>
  <property fmtid="{D5CDD505-2E9C-101B-9397-08002B2CF9AE}" pid="13" name="MSIP_Label_2bbab825-a111-45e4-86a1-18cee0005896_ContentBits">
    <vt:lpwstr>2</vt:lpwstr>
  </property>
  <property fmtid="{D5CDD505-2E9C-101B-9397-08002B2CF9AE}" pid="14" name="MSIP_Label_2bbab825-a111-45e4-86a1-18cee0005896_Tag">
    <vt:lpwstr>10, 3, 0, 1</vt:lpwstr>
  </property>
</Properties>
</file>