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3C8F2">
      <w:pPr>
        <w:wordWrap w:val="0"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8"/>
          <w:szCs w:val="36"/>
          <w:highlight w:val="none"/>
        </w:rPr>
      </w:pPr>
      <w:bookmarkStart w:id="0" w:name="_Hlk168050002"/>
      <w:r>
        <w:rPr>
          <w:rFonts w:hint="eastAsia" w:ascii="Times New Roman" w:hAnsi="Times New Roman" w:cs="Times New Roman"/>
          <w:b/>
          <w:bCs/>
          <w:sz w:val="28"/>
          <w:szCs w:val="36"/>
          <w:highlight w:val="none"/>
        </w:rPr>
        <w:t>On-line Supplementary Materials</w:t>
      </w:r>
    </w:p>
    <w:p w14:paraId="7F459E5D">
      <w:pPr>
        <w:wordWrap w:val="0"/>
        <w:adjustRightInd w:val="0"/>
        <w:snapToGrid w:val="0"/>
        <w:spacing w:line="360" w:lineRule="auto"/>
        <w:rPr>
          <w:rFonts w:hint="eastAsia" w:ascii="Times New Roman" w:hAnsi="Times New Roman" w:cs="Times New Roman"/>
          <w:b/>
          <w:bCs/>
          <w:sz w:val="24"/>
          <w:szCs w:val="32"/>
          <w:highlight w:val="none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highlight w:val="none"/>
        </w:rPr>
        <w:t>Title: Effect of Ciprofol on postoperative cognitive function in patients undergoing cardiac surgery with cardiopulmonary</w:t>
      </w:r>
    </w:p>
    <w:p w14:paraId="4533B819">
      <w:pPr>
        <w:wordWrap w:val="0"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4"/>
          <w:szCs w:val="32"/>
          <w:highlight w:val="none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highlight w:val="none"/>
        </w:rPr>
        <w:t>byp</w:t>
      </w:r>
      <w:r>
        <w:rPr>
          <w:rFonts w:hint="eastAsia" w:ascii="Times New Roman" w:hAnsi="Times New Roman" w:cs="Times New Roman"/>
          <w:b/>
          <w:bCs/>
          <w:sz w:val="24"/>
          <w:szCs w:val="32"/>
          <w:highlight w:val="none"/>
          <w:lang w:val="en-US" w:eastAsia="zh-CN"/>
        </w:rPr>
        <w:t>a</w:t>
      </w:r>
      <w:r>
        <w:rPr>
          <w:rFonts w:hint="eastAsia" w:ascii="Times New Roman" w:hAnsi="Times New Roman" w:cs="Times New Roman"/>
          <w:b/>
          <w:bCs/>
          <w:sz w:val="24"/>
          <w:szCs w:val="32"/>
          <w:highlight w:val="none"/>
        </w:rPr>
        <w:t>ss: A prospective, randomized, controlled trial.</w:t>
      </w:r>
    </w:p>
    <w:p w14:paraId="366E9316">
      <w:pPr>
        <w:wordWrap w:val="0"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2"/>
          <w:szCs w:val="28"/>
          <w:highlight w:val="none"/>
        </w:rPr>
      </w:pPr>
    </w:p>
    <w:tbl>
      <w:tblPr>
        <w:tblStyle w:val="12"/>
        <w:tblpPr w:leftFromText="180" w:rightFromText="180" w:vertAnchor="text" w:horzAnchor="margin" w:tblpXSpec="center" w:tblpY="265"/>
        <w:tblW w:w="13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0"/>
        <w:gridCol w:w="1074"/>
      </w:tblGrid>
      <w:tr w14:paraId="6BFB1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550" w:type="dxa"/>
            <w:vAlign w:val="center"/>
          </w:tcPr>
          <w:p w14:paraId="4A9B1B18">
            <w:pPr>
              <w:wordWrap w:val="0"/>
              <w:adjustRightInd w:val="0"/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36"/>
                <w:highlight w:val="none"/>
              </w:rPr>
              <w:t>Contents</w:t>
            </w:r>
          </w:p>
        </w:tc>
        <w:tc>
          <w:tcPr>
            <w:tcW w:w="1074" w:type="dxa"/>
          </w:tcPr>
          <w:p w14:paraId="2E6AF03D">
            <w:pPr>
              <w:spacing w:before="50" w:after="50"/>
              <w:jc w:val="center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Page</w:t>
            </w:r>
          </w:p>
        </w:tc>
      </w:tr>
      <w:tr w14:paraId="44223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550" w:type="dxa"/>
          </w:tcPr>
          <w:p w14:paraId="57DE73A5">
            <w:pPr>
              <w:numPr>
                <w:ilvl w:val="0"/>
                <w:numId w:val="1"/>
              </w:numPr>
              <w:spacing w:before="50" w:after="50"/>
              <w:rPr>
                <w:rFonts w:ascii="Times New Roman" w:hAnsi="Times New Roman" w:eastAsia="宋体" w:cs="Times New Roman"/>
                <w:b/>
                <w:kern w:val="0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1"/>
                <w:highlight w:val="none"/>
              </w:rPr>
              <w:t xml:space="preserve">Definition of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highlight w:val="none"/>
                <w:lang w:val="en-US" w:eastAsia="zh-CN"/>
              </w:rPr>
              <w:t xml:space="preserve">intraoperative and 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1"/>
                <w:highlight w:val="none"/>
              </w:rPr>
              <w:t>postoperative complications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1"/>
                <w:highlight w:val="none"/>
                <w:lang w:val="en-US" w:eastAsia="zh-CN"/>
              </w:rPr>
              <w:t>.</w:t>
            </w:r>
          </w:p>
        </w:tc>
        <w:tc>
          <w:tcPr>
            <w:tcW w:w="1074" w:type="dxa"/>
          </w:tcPr>
          <w:p w14:paraId="07E34BA7">
            <w:pPr>
              <w:spacing w:before="50" w:after="5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1"/>
                <w:highlight w:val="none"/>
              </w:rPr>
              <w:t>2</w:t>
            </w:r>
          </w:p>
        </w:tc>
      </w:tr>
      <w:tr w14:paraId="4AB3F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550" w:type="dxa"/>
          </w:tcPr>
          <w:p w14:paraId="5C7C44F7">
            <w:pPr>
              <w:numPr>
                <w:ilvl w:val="0"/>
                <w:numId w:val="1"/>
              </w:numPr>
              <w:spacing w:before="50" w:after="50"/>
              <w:rPr>
                <w:rFonts w:ascii="Times New Roman" w:hAnsi="Times New Roman" w:eastAsia="宋体" w:cs="Times New Roman"/>
                <w:b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1"/>
                <w:highlight w:val="none"/>
                <w:lang w:val="en-US" w:eastAsia="zh-CN"/>
              </w:rPr>
              <w:t xml:space="preserve">The detail 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1"/>
                <w:highlight w:val="none"/>
              </w:rPr>
              <w:t>approach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1"/>
                <w:highlight w:val="none"/>
                <w:lang w:val="en-US" w:eastAsia="zh-CN"/>
              </w:rPr>
              <w:t xml:space="preserve"> of 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1"/>
                <w:highlight w:val="none"/>
              </w:rPr>
              <w:t>multiple-imputation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1"/>
                <w:highlight w:val="none"/>
              </w:rPr>
              <w:t xml:space="preserve"> </w:t>
            </w:r>
          </w:p>
        </w:tc>
        <w:tc>
          <w:tcPr>
            <w:tcW w:w="1074" w:type="dxa"/>
          </w:tcPr>
          <w:p w14:paraId="42BBDEEB">
            <w:pPr>
              <w:spacing w:before="50" w:after="5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42239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550" w:type="dxa"/>
          </w:tcPr>
          <w:p w14:paraId="7908575E">
            <w:pPr>
              <w:numPr>
                <w:ilvl w:val="0"/>
                <w:numId w:val="1"/>
              </w:numPr>
              <w:spacing w:before="50" w:after="50"/>
              <w:rPr>
                <w:rFonts w:ascii="Times New Roman" w:hAnsi="Times New Roman" w:eastAsia="宋体" w:cs="Times New Roman"/>
                <w:b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</w:rPr>
              <w:t xml:space="preserve">Supplementary 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</w:rPr>
              <w:t xml:space="preserve">Table 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  <w:lang w:val="en-US" w:eastAsia="zh-CN"/>
              </w:rPr>
              <w:t>S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</w:rPr>
              <w:t xml:space="preserve">1. 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  <w:t>Intraoperative Data.</w:t>
            </w:r>
          </w:p>
        </w:tc>
        <w:tc>
          <w:tcPr>
            <w:tcW w:w="1074" w:type="dxa"/>
          </w:tcPr>
          <w:p w14:paraId="650D9E41">
            <w:pPr>
              <w:spacing w:before="50" w:after="5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1"/>
                <w:highlight w:val="none"/>
                <w:lang w:val="en-US" w:eastAsia="zh-CN"/>
              </w:rPr>
              <w:t>5</w:t>
            </w:r>
          </w:p>
        </w:tc>
      </w:tr>
      <w:tr w14:paraId="06076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550" w:type="dxa"/>
          </w:tcPr>
          <w:p w14:paraId="08065581">
            <w:pPr>
              <w:numPr>
                <w:ilvl w:val="0"/>
                <w:numId w:val="1"/>
              </w:numPr>
              <w:spacing w:before="50" w:after="50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Supplementary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Figure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S1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.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>The intraoperative sedative anesthesia induction and maintenance regimens for the two groups of patients.</w:t>
            </w:r>
          </w:p>
        </w:tc>
        <w:tc>
          <w:tcPr>
            <w:tcW w:w="1074" w:type="dxa"/>
          </w:tcPr>
          <w:p w14:paraId="2FA0A14B">
            <w:pPr>
              <w:spacing w:before="50" w:after="50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1"/>
                <w:highlight w:val="none"/>
                <w:lang w:val="en-US" w:eastAsia="zh-CN"/>
              </w:rPr>
              <w:t>8</w:t>
            </w:r>
          </w:p>
        </w:tc>
      </w:tr>
      <w:tr w14:paraId="4F602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550" w:type="dxa"/>
          </w:tcPr>
          <w:p w14:paraId="02BF9CA5">
            <w:pPr>
              <w:numPr>
                <w:ilvl w:val="0"/>
                <w:numId w:val="1"/>
              </w:numPr>
              <w:spacing w:before="50" w:after="50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>Supplementary Figure S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>. The occurrence of POD, relative risk and P-value for interaction in different subgroups.</w:t>
            </w:r>
          </w:p>
        </w:tc>
        <w:tc>
          <w:tcPr>
            <w:tcW w:w="1074" w:type="dxa"/>
          </w:tcPr>
          <w:p w14:paraId="6BACCA0C">
            <w:pPr>
              <w:spacing w:before="50" w:after="50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1"/>
                <w:highlight w:val="none"/>
                <w:lang w:val="en-US" w:eastAsia="zh-CN"/>
              </w:rPr>
              <w:t>9</w:t>
            </w:r>
          </w:p>
        </w:tc>
      </w:tr>
    </w:tbl>
    <w:p w14:paraId="70825E95">
      <w:pPr>
        <w:wordWrap w:val="0"/>
        <w:rPr>
          <w:rFonts w:ascii="Times New Roman" w:hAnsi="Times New Roman" w:cs="Times New Roman"/>
          <w:b/>
          <w:bCs/>
          <w:sz w:val="22"/>
          <w:szCs w:val="28"/>
          <w:highlight w:val="none"/>
        </w:rPr>
      </w:pPr>
    </w:p>
    <w:p w14:paraId="7583CAE3">
      <w:pPr>
        <w:wordWrap w:val="0"/>
        <w:rPr>
          <w:rFonts w:ascii="Times New Roman" w:hAnsi="Times New Roman" w:cs="Times New Roman"/>
          <w:b/>
          <w:bCs/>
          <w:sz w:val="22"/>
          <w:szCs w:val="28"/>
          <w:highlight w:val="none"/>
        </w:rPr>
      </w:pPr>
    </w:p>
    <w:p w14:paraId="6BCDD4CB">
      <w:pPr>
        <w:wordWrap w:val="0"/>
        <w:rPr>
          <w:rFonts w:ascii="Times New Roman" w:hAnsi="Times New Roman" w:cs="Times New Roman"/>
          <w:b/>
          <w:bCs/>
          <w:sz w:val="22"/>
          <w:szCs w:val="28"/>
          <w:highlight w:val="none"/>
        </w:rPr>
      </w:pPr>
    </w:p>
    <w:p w14:paraId="66E587C9">
      <w:pPr>
        <w:wordWrap w:val="0"/>
        <w:rPr>
          <w:rFonts w:ascii="Times New Roman" w:hAnsi="Times New Roman" w:cs="Times New Roman"/>
          <w:b/>
          <w:bCs/>
          <w:sz w:val="22"/>
          <w:szCs w:val="28"/>
          <w:highlight w:val="none"/>
        </w:rPr>
      </w:pPr>
    </w:p>
    <w:p w14:paraId="67DAE2C5">
      <w:pPr>
        <w:wordWrap w:val="0"/>
        <w:rPr>
          <w:rFonts w:ascii="Times New Roman" w:hAnsi="Times New Roman" w:cs="Times New Roman"/>
          <w:b/>
          <w:bCs/>
          <w:sz w:val="22"/>
          <w:szCs w:val="28"/>
          <w:highlight w:val="none"/>
        </w:rPr>
      </w:pPr>
    </w:p>
    <w:p w14:paraId="069D1FA8">
      <w:pPr>
        <w:rPr>
          <w:rFonts w:ascii="Times New Roman" w:hAnsi="Times New Roman" w:cs="Times New Roman"/>
          <w:b/>
          <w:bCs/>
          <w:sz w:val="22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2"/>
          <w:szCs w:val="28"/>
          <w:highlight w:val="none"/>
        </w:rPr>
        <w:br w:type="page"/>
      </w:r>
    </w:p>
    <w:p w14:paraId="70E62107">
      <w:pPr>
        <w:wordWrap w:val="0"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4"/>
          <w:szCs w:val="32"/>
          <w:highlight w:val="none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highlight w:val="none"/>
        </w:rPr>
        <w:t>Definition of</w:t>
      </w:r>
      <w:r>
        <w:rPr>
          <w:rFonts w:hint="eastAsia" w:ascii="Times New Roman" w:hAnsi="Times New Roman" w:cs="Times New Roman"/>
          <w:b/>
          <w:bCs/>
          <w:sz w:val="24"/>
          <w:szCs w:val="32"/>
          <w:highlight w:val="none"/>
          <w:lang w:val="en-US" w:eastAsia="zh-CN"/>
        </w:rPr>
        <w:t xml:space="preserve"> intraoperative and </w:t>
      </w:r>
      <w:r>
        <w:rPr>
          <w:rFonts w:hint="eastAsia" w:ascii="Times New Roman" w:hAnsi="Times New Roman" w:cs="Times New Roman"/>
          <w:b/>
          <w:bCs/>
          <w:sz w:val="24"/>
          <w:szCs w:val="32"/>
          <w:highlight w:val="none"/>
        </w:rPr>
        <w:t>postoperative complications</w:t>
      </w:r>
    </w:p>
    <w:p w14:paraId="2A013061">
      <w:pPr>
        <w:wordWrap w:val="0"/>
        <w:adjustRightInd w:val="0"/>
        <w:snapToGrid w:val="0"/>
        <w:spacing w:line="360" w:lineRule="auto"/>
        <w:rPr>
          <w:rFonts w:hint="eastAsia" w:ascii="Times New Roman" w:hAnsi="Times New Roman" w:cs="Times New Roman"/>
          <w:b/>
          <w:bCs/>
          <w:sz w:val="24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highlight w:val="none"/>
          <w:lang w:val="en-US" w:eastAsia="zh-CN"/>
        </w:rPr>
        <w:t>1. Severe haemodynamic instability</w:t>
      </w:r>
    </w:p>
    <w:p w14:paraId="683A6D48">
      <w:pPr>
        <w:wordWrap w:val="0"/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highlight w:val="none"/>
          <w:lang w:val="en-US" w:eastAsia="zh-CN"/>
        </w:rPr>
        <w:t>During non cardiopulmonary bypass (CPB) mean arterial pressure (MAP) remains below 60 mmHg despite high-dose inotropic and vasoconstrictor support (inotrope score &gt;10), or hemodynamic instability necessitating extracorporeal membrane oxygenation (ECMO) support.</w:t>
      </w:r>
    </w:p>
    <w:p w14:paraId="1CF9DA23">
      <w:pPr>
        <w:wordWrap w:val="0"/>
        <w:adjustRightInd w:val="0"/>
        <w:snapToGrid w:val="0"/>
        <w:spacing w:line="360" w:lineRule="auto"/>
        <w:rPr>
          <w:rFonts w:hint="eastAsia" w:ascii="Times New Roman" w:hAnsi="Times New Roman" w:cs="Times New Roman"/>
          <w:b/>
          <w:bCs/>
          <w:sz w:val="24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highlight w:val="none"/>
          <w:lang w:val="en-US" w:eastAsia="zh-CN"/>
        </w:rPr>
        <w:t>2. Malignant arrhythmia</w:t>
      </w:r>
    </w:p>
    <w:p w14:paraId="4AB1F94E">
      <w:pPr>
        <w:wordWrap w:val="0"/>
        <w:adjustRightInd w:val="0"/>
        <w:snapToGrid w:val="0"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highlight w:val="none"/>
          <w:lang w:val="en-US" w:eastAsia="zh-CN"/>
        </w:rPr>
        <w:t>During non</w:t>
      </w:r>
      <w:r>
        <w:rPr>
          <w:rFonts w:hint="eastAsia" w:ascii="Times New Roman" w:hAnsi="Times New Roman" w:cs="Times New Roman"/>
          <w:sz w:val="24"/>
          <w:szCs w:val="32"/>
          <w:highlight w:val="none"/>
          <w:lang w:val="en-US" w:eastAsia="zh-CN"/>
        </w:rPr>
        <w:t>-CPB ventricular fibrillation (VF), sustained ventricular tachycardia (VT), torsades de pointes (Tdp), pulseless electrical activity (PEA), asystole, or other malignant arrhythmias causing significant hemodynamic compromise occurring during the off-pump period</w:t>
      </w:r>
      <w:r>
        <w:rPr>
          <w:rFonts w:hint="default" w:ascii="Times New Roman" w:hAnsi="Times New Roman" w:cs="Times New Roman"/>
          <w:sz w:val="24"/>
          <w:szCs w:val="32"/>
          <w:highlight w:val="none"/>
          <w:lang w:val="en-US" w:eastAsia="zh-CN"/>
        </w:rPr>
        <w:t>.</w:t>
      </w:r>
    </w:p>
    <w:p w14:paraId="08945A95">
      <w:pPr>
        <w:wordWrap w:val="0"/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32"/>
          <w:highlight w:val="none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cs="Times New Roman"/>
          <w:b/>
          <w:bCs/>
          <w:sz w:val="24"/>
          <w:szCs w:val="32"/>
          <w:highlight w:val="none"/>
        </w:rPr>
        <w:t xml:space="preserve">. Postoperative pneumonia: </w:t>
      </w:r>
      <w:r>
        <w:rPr>
          <w:rFonts w:hint="eastAsia" w:ascii="Times New Roman" w:hAnsi="Times New Roman" w:cs="Times New Roman"/>
          <w:sz w:val="24"/>
          <w:szCs w:val="32"/>
          <w:highlight w:val="none"/>
        </w:rPr>
        <w:t>meets the following criteria:</w:t>
      </w:r>
    </w:p>
    <w:p w14:paraId="265DFCD8">
      <w:pPr>
        <w:wordWrap w:val="0"/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32"/>
          <w:highlight w:val="none"/>
        </w:rPr>
      </w:pPr>
      <w:r>
        <w:rPr>
          <w:rFonts w:hint="eastAsia" w:ascii="Times New Roman" w:hAnsi="Times New Roman" w:cs="Times New Roman"/>
          <w:sz w:val="24"/>
          <w:szCs w:val="32"/>
          <w:highlight w:val="none"/>
        </w:rPr>
        <w:t>1) Sputum culture positive.</w:t>
      </w:r>
    </w:p>
    <w:p w14:paraId="5B3AB29E">
      <w:pPr>
        <w:wordWrap w:val="0"/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32"/>
          <w:highlight w:val="none"/>
        </w:rPr>
      </w:pPr>
      <w:r>
        <w:rPr>
          <w:rFonts w:hint="eastAsia" w:ascii="Times New Roman" w:hAnsi="Times New Roman" w:cs="Times New Roman"/>
          <w:sz w:val="24"/>
          <w:szCs w:val="32"/>
          <w:highlight w:val="none"/>
        </w:rPr>
        <w:t>2) Respiratory infection. Patient has received antibiotics for a suspected respiratory infection and met one or more of the following criteria: new or changed sputum, new or changed lung opacities, fever, white blood cell count &gt; 12×10</w:t>
      </w:r>
      <w:r>
        <w:rPr>
          <w:rFonts w:hint="eastAsia" w:ascii="Times New Roman" w:hAnsi="Times New Roman" w:cs="Times New Roman"/>
          <w:sz w:val="24"/>
          <w:szCs w:val="32"/>
          <w:highlight w:val="none"/>
          <w:vertAlign w:val="superscript"/>
        </w:rPr>
        <w:t>9</w:t>
      </w:r>
      <w:r>
        <w:rPr>
          <w:rFonts w:hint="eastAsia" w:ascii="Times New Roman" w:hAnsi="Times New Roman" w:cs="Times New Roman"/>
          <w:sz w:val="24"/>
          <w:szCs w:val="32"/>
          <w:highlight w:val="none"/>
          <w:lang w:val="en-US" w:eastAsia="zh-CN"/>
        </w:rPr>
        <w:t>/L</w:t>
      </w:r>
      <w:r>
        <w:rPr>
          <w:rFonts w:hint="eastAsia" w:ascii="Times New Roman" w:hAnsi="Times New Roman" w:cs="Times New Roman"/>
          <w:sz w:val="24"/>
          <w:szCs w:val="32"/>
          <w:highlight w:val="none"/>
        </w:rPr>
        <w:t>.</w:t>
      </w:r>
    </w:p>
    <w:p w14:paraId="1ED7322F">
      <w:pPr>
        <w:wordWrap w:val="0"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4"/>
          <w:szCs w:val="32"/>
          <w:highlight w:val="none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cs="Times New Roman"/>
          <w:b/>
          <w:bCs/>
          <w:sz w:val="24"/>
          <w:szCs w:val="32"/>
          <w:highlight w:val="none"/>
        </w:rPr>
        <w:t xml:space="preserve">. Postoperative pleural effusion </w:t>
      </w:r>
    </w:p>
    <w:p w14:paraId="34DC2D99">
      <w:pPr>
        <w:wordWrap w:val="0"/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32"/>
          <w:highlight w:val="none"/>
        </w:rPr>
      </w:pPr>
      <w:r>
        <w:rPr>
          <w:rFonts w:hint="eastAsia" w:ascii="Times New Roman" w:hAnsi="Times New Roman" w:cs="Times New Roman"/>
          <w:sz w:val="24"/>
          <w:szCs w:val="32"/>
          <w:highlight w:val="none"/>
        </w:rPr>
        <w:t>Chest radiograph demonstrating blunting of the costophrenic angle, loss of sharp silhouette of the ipsilateral hemidiaphragm in upright position, evidence of displacement of adjacent anatomical structures or (in supine position) a hazy opacity in one hemithorax with preserved vascular shadows.</w:t>
      </w:r>
    </w:p>
    <w:p w14:paraId="4F7AB193">
      <w:pPr>
        <w:wordWrap w:val="0"/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32"/>
          <w:highlight w:val="none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cs="Times New Roman"/>
          <w:b/>
          <w:bCs/>
          <w:sz w:val="24"/>
          <w:szCs w:val="32"/>
          <w:highlight w:val="none"/>
        </w:rPr>
        <w:t>. Postoperative acute kidney injury (AKI):</w:t>
      </w:r>
      <w:r>
        <w:rPr>
          <w:rFonts w:hint="eastAsia" w:ascii="Times New Roman" w:hAnsi="Times New Roman" w:cs="Times New Roman"/>
          <w:sz w:val="24"/>
          <w:szCs w:val="32"/>
          <w:highlight w:val="none"/>
        </w:rPr>
        <w:t xml:space="preserve"> Defined using the creatinine component of the kidney disease: Improving Global Outcomes (KDIGO) criteria. Meets any of the following:</w:t>
      </w:r>
    </w:p>
    <w:p w14:paraId="101307AC">
      <w:pPr>
        <w:wordWrap w:val="0"/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32"/>
          <w:highlight w:val="none"/>
        </w:rPr>
      </w:pPr>
      <w:r>
        <w:rPr>
          <w:rFonts w:hint="eastAsia" w:ascii="Times New Roman" w:hAnsi="Times New Roman" w:cs="Times New Roman"/>
          <w:sz w:val="24"/>
          <w:szCs w:val="32"/>
          <w:highlight w:val="none"/>
        </w:rPr>
        <w:t>1) Increase in serum creatinine by ≥ 0.3 mg/dl (≥ 26.5 µmol/l) within 48 hours.</w:t>
      </w:r>
    </w:p>
    <w:p w14:paraId="76DB8BA1">
      <w:pPr>
        <w:wordWrap w:val="0"/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32"/>
          <w:highlight w:val="none"/>
        </w:rPr>
      </w:pPr>
      <w:r>
        <w:rPr>
          <w:rFonts w:hint="eastAsia" w:ascii="Times New Roman" w:hAnsi="Times New Roman" w:cs="Times New Roman"/>
          <w:sz w:val="24"/>
          <w:szCs w:val="32"/>
          <w:highlight w:val="none"/>
        </w:rPr>
        <w:t>2) Increase in serum creatinine to ≥ 1.5 times baseline, which is known or presumed to have occurred within the prior 7 days.</w:t>
      </w:r>
    </w:p>
    <w:p w14:paraId="1706629A">
      <w:pPr>
        <w:wordWrap w:val="0"/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32"/>
          <w:highlight w:val="none"/>
        </w:rPr>
      </w:pPr>
      <w:r>
        <w:rPr>
          <w:rFonts w:hint="eastAsia" w:ascii="Times New Roman" w:hAnsi="Times New Roman" w:cs="Times New Roman"/>
          <w:sz w:val="24"/>
          <w:szCs w:val="32"/>
          <w:highlight w:val="none"/>
        </w:rPr>
        <w:t>3) Urine volume &lt;</w:t>
      </w:r>
      <w:r>
        <w:rPr>
          <w:rFonts w:hint="eastAsia" w:ascii="Times New Roman" w:hAnsi="Times New Roman" w:cs="Times New Roman"/>
          <w:sz w:val="24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highlight w:val="none"/>
        </w:rPr>
        <w:t>0.5 ml/kg/h for 6 hours.</w:t>
      </w:r>
    </w:p>
    <w:p w14:paraId="7B6983BC">
      <w:pPr>
        <w:rPr>
          <w:rFonts w:hint="eastAsia" w:ascii="Times New Roman" w:hAnsi="Times New Roman" w:cs="Times New Roman"/>
          <w:sz w:val="24"/>
          <w:szCs w:val="32"/>
          <w:highlight w:val="none"/>
        </w:rPr>
      </w:pPr>
      <w:r>
        <w:rPr>
          <w:rFonts w:hint="eastAsia" w:ascii="Times New Roman" w:hAnsi="Times New Roman" w:cs="Times New Roman"/>
          <w:sz w:val="24"/>
          <w:szCs w:val="32"/>
          <w:highlight w:val="none"/>
        </w:rPr>
        <w:br w:type="page"/>
      </w:r>
    </w:p>
    <w:p w14:paraId="5780917C">
      <w:pPr>
        <w:wordWrap w:val="0"/>
        <w:adjustRightInd w:val="0"/>
        <w:snapToGrid w:val="0"/>
        <w:spacing w:line="360" w:lineRule="auto"/>
        <w:rPr>
          <w:rFonts w:hint="eastAsia" w:ascii="Times New Roman" w:hAnsi="Times New Roman" w:cs="Times New Roman"/>
          <w:b/>
          <w:bCs/>
          <w:sz w:val="24"/>
          <w:szCs w:val="32"/>
          <w:highlight w:val="none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highlight w:val="none"/>
        </w:rPr>
        <w:t>The detail approach of multiple-imputation</w:t>
      </w:r>
      <w:r>
        <w:rPr>
          <w:rFonts w:hint="eastAsia" w:ascii="Times New Roman" w:hAnsi="Times New Roman" w:cs="Times New Roman"/>
          <w:b/>
          <w:bCs/>
          <w:sz w:val="24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cs="Times New Roman"/>
          <w:b/>
          <w:bCs/>
          <w:sz w:val="24"/>
          <w:szCs w:val="32"/>
          <w:highlight w:val="none"/>
        </w:rPr>
        <w:t xml:space="preserve"> </w:t>
      </w:r>
    </w:p>
    <w:p w14:paraId="2EFB35AF">
      <w:pPr>
        <w:wordWrap w:val="0"/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32"/>
          <w:highlight w:val="none"/>
        </w:rPr>
      </w:pPr>
      <w:r>
        <w:rPr>
          <w:rFonts w:hint="eastAsia" w:ascii="Times New Roman" w:hAnsi="Times New Roman" w:cs="Times New Roman"/>
          <w:sz w:val="24"/>
          <w:szCs w:val="32"/>
          <w:highlight w:val="none"/>
        </w:rPr>
        <w:t xml:space="preserve">At 1 month postoperatively, a total of 5 patients (5/129, 3.88%) across both groups had missing T-MoCA assessment data, with 2 cases in the ciprofol group (2/64, 3.13%) and 3 cases in the propofol group (3/65, 4.62%). At 3 months postoperatively, 10 patients (10/129, 7.75%) had missing T-MoCA data, including 4 in the ciprofol group (4/64, 6.25%) and 6 in the propofol group (6/65, 9.23%).  </w:t>
      </w:r>
    </w:p>
    <w:p w14:paraId="7F51E2F0">
      <w:pPr>
        <w:wordWrap w:val="0"/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32"/>
          <w:highlight w:val="none"/>
        </w:rPr>
      </w:pPr>
      <w:r>
        <w:rPr>
          <w:rFonts w:hint="eastAsia" w:ascii="Times New Roman" w:hAnsi="Times New Roman" w:cs="Times New Roman"/>
          <w:sz w:val="24"/>
          <w:szCs w:val="32"/>
          <w:highlight w:val="none"/>
        </w:rPr>
        <w:t>Multiple imputation was performed for missing data using SPSS 27.0. Covariates incorporated into the imputation model included group allocation, age, sex, educational level, and preoperative MMSE score. A total of 20 imputed datasets were generated through 20 iterations of imputation for T-MoCA scores. The T-MoCA scores were then dichotomized into presence or absence of POCD (defined as POCD if T-MoCA score &lt; 18). Chi-square tests were conducted to compare the incidence of POCD between the two groups in each imputed dataset, and the results of these tests were aggregated for final analysis.</w:t>
      </w:r>
    </w:p>
    <w:p w14:paraId="21D55B5F">
      <w:pPr>
        <w:rPr>
          <w:rFonts w:ascii="Times New Roman" w:hAnsi="Times New Roman" w:cs="Times New Roman"/>
          <w:b/>
          <w:bCs/>
          <w:sz w:val="22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2"/>
          <w:szCs w:val="28"/>
          <w:highlight w:val="none"/>
        </w:rPr>
        <w:br w:type="page"/>
      </w:r>
    </w:p>
    <w:p w14:paraId="5ABCFCFE">
      <w:pPr>
        <w:wordWrap w:val="0"/>
        <w:rPr>
          <w:rFonts w:ascii="Times New Roman" w:hAnsi="Times New Roman" w:cs="Times New Roman"/>
          <w:b/>
          <w:bCs/>
          <w:sz w:val="22"/>
          <w:szCs w:val="28"/>
          <w:highlight w:val="none"/>
        </w:rPr>
      </w:pPr>
      <w:r>
        <w:rPr>
          <w:rFonts w:hint="eastAsia" w:ascii="Times New Roman" w:hAnsi="Times New Roman" w:cs="Times New Roman"/>
          <w:b/>
          <w:bCs/>
          <w:sz w:val="22"/>
          <w:szCs w:val="28"/>
          <w:highlight w:val="none"/>
        </w:rPr>
        <w:t xml:space="preserve">Supplementary Table </w:t>
      </w:r>
      <w:r>
        <w:rPr>
          <w:rFonts w:hint="eastAsia" w:ascii="Times New Roman" w:hAnsi="Times New Roman" w:cs="Times New Roman"/>
          <w:b/>
          <w:bCs/>
          <w:sz w:val="22"/>
          <w:szCs w:val="28"/>
          <w:highlight w:val="none"/>
          <w:lang w:val="en-US" w:eastAsia="zh-CN"/>
        </w:rPr>
        <w:t>S</w:t>
      </w:r>
      <w:r>
        <w:rPr>
          <w:rFonts w:hint="eastAsia" w:ascii="Times New Roman" w:hAnsi="Times New Roman" w:cs="Times New Roman"/>
          <w:b/>
          <w:bCs/>
          <w:sz w:val="22"/>
          <w:szCs w:val="28"/>
          <w:highlight w:val="none"/>
        </w:rPr>
        <w:t>1</w:t>
      </w:r>
      <w:r>
        <w:rPr>
          <w:rFonts w:ascii="Times New Roman" w:hAnsi="Times New Roman" w:cs="Times New Roman"/>
          <w:b/>
          <w:bCs/>
          <w:sz w:val="22"/>
          <w:szCs w:val="28"/>
          <w:highlight w:val="none"/>
        </w:rPr>
        <w:t xml:space="preserve">. Intraoperative </w:t>
      </w:r>
      <w:r>
        <w:rPr>
          <w:rFonts w:hint="eastAsia" w:ascii="Times New Roman" w:hAnsi="Times New Roman" w:cs="Times New Roman"/>
          <w:b/>
          <w:bCs/>
          <w:sz w:val="22"/>
          <w:szCs w:val="28"/>
          <w:highlight w:val="none"/>
          <w:lang w:val="en-US" w:eastAsia="zh-CN"/>
        </w:rPr>
        <w:t>d</w:t>
      </w:r>
      <w:r>
        <w:rPr>
          <w:rFonts w:ascii="Times New Roman" w:hAnsi="Times New Roman" w:cs="Times New Roman"/>
          <w:b/>
          <w:bCs/>
          <w:sz w:val="22"/>
          <w:szCs w:val="28"/>
          <w:highlight w:val="none"/>
        </w:rPr>
        <w:t>ata.</w:t>
      </w:r>
    </w:p>
    <w:tbl>
      <w:tblPr>
        <w:tblStyle w:val="8"/>
        <w:tblpPr w:leftFromText="180" w:rightFromText="180" w:vertAnchor="text" w:tblpY="1"/>
        <w:tblOverlap w:val="never"/>
        <w:tblW w:w="4978" w:type="pct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2"/>
        <w:gridCol w:w="3026"/>
        <w:gridCol w:w="3026"/>
        <w:gridCol w:w="3026"/>
        <w:gridCol w:w="862"/>
      </w:tblGrid>
      <w:tr w14:paraId="047DC764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478" w:type="pct"/>
            <w:tcBorders>
              <w:top w:val="single" w:color="auto" w:sz="18" w:space="0"/>
              <w:bottom w:val="single" w:color="auto" w:sz="8" w:space="0"/>
            </w:tcBorders>
            <w:vAlign w:val="center"/>
          </w:tcPr>
          <w:p w14:paraId="2DEAF79E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bookmarkStart w:id="1" w:name="_Hlk180237557"/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Characteristics</w:t>
            </w:r>
          </w:p>
        </w:tc>
        <w:tc>
          <w:tcPr>
            <w:tcW w:w="1072" w:type="pct"/>
            <w:tcBorders>
              <w:top w:val="single" w:color="auto" w:sz="18" w:space="0"/>
              <w:bottom w:val="single" w:color="auto" w:sz="8" w:space="0"/>
            </w:tcBorders>
            <w:vAlign w:val="center"/>
          </w:tcPr>
          <w:p w14:paraId="0967F0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Microsoft JhengHei" w:cs="Times New Roman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Total</w:t>
            </w:r>
          </w:p>
          <w:p w14:paraId="12742CE7"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Microsoft JhengHei" w:cs="Times New Roman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(</w:t>
            </w:r>
            <w:r>
              <w:rPr>
                <w:rFonts w:ascii="Times New Roman" w:hAnsi="Times New Roman" w:eastAsia="Microsoft JhengHei" w:cs="Times New Roman"/>
                <w:b/>
                <w:bCs/>
                <w:i/>
                <w:iCs/>
                <w:kern w:val="0"/>
                <w:sz w:val="24"/>
                <w:szCs w:val="24"/>
                <w:highlight w:val="none"/>
                <w:lang w:bidi="ar"/>
              </w:rPr>
              <w:t>n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Microsoft JhengHei" w:cs="Times New Roman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=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129</w:t>
            </w:r>
            <w:r>
              <w:rPr>
                <w:rFonts w:ascii="Times New Roman" w:hAnsi="Times New Roman" w:eastAsia="Microsoft JhengHei" w:cs="Times New Roman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)</w:t>
            </w:r>
          </w:p>
        </w:tc>
        <w:tc>
          <w:tcPr>
            <w:tcW w:w="1072" w:type="pct"/>
            <w:tcBorders>
              <w:top w:val="single" w:color="auto" w:sz="18" w:space="0"/>
              <w:bottom w:val="single" w:color="auto" w:sz="8" w:space="0"/>
            </w:tcBorders>
            <w:vAlign w:val="center"/>
          </w:tcPr>
          <w:p w14:paraId="2305AA27"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Group C</w:t>
            </w:r>
          </w:p>
          <w:p w14:paraId="7493FDCE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(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sz w:val="24"/>
                <w:szCs w:val="24"/>
                <w:highlight w:val="none"/>
              </w:rPr>
              <w:t>n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=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64)</w:t>
            </w:r>
          </w:p>
        </w:tc>
        <w:tc>
          <w:tcPr>
            <w:tcW w:w="1072" w:type="pct"/>
            <w:tcBorders>
              <w:top w:val="single" w:color="auto" w:sz="18" w:space="0"/>
              <w:bottom w:val="single" w:color="auto" w:sz="8" w:space="0"/>
            </w:tcBorders>
            <w:vAlign w:val="center"/>
          </w:tcPr>
          <w:p w14:paraId="40AF3A2E"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Group P</w:t>
            </w:r>
          </w:p>
          <w:p w14:paraId="0D6D1E4B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(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sz w:val="24"/>
                <w:szCs w:val="24"/>
                <w:highlight w:val="none"/>
              </w:rPr>
              <w:t>n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=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65)</w:t>
            </w:r>
          </w:p>
        </w:tc>
        <w:tc>
          <w:tcPr>
            <w:tcW w:w="305" w:type="pct"/>
            <w:tcBorders>
              <w:top w:val="single" w:color="auto" w:sz="18" w:space="0"/>
              <w:bottom w:val="single" w:color="auto" w:sz="8" w:space="0"/>
            </w:tcBorders>
            <w:vAlign w:val="center"/>
          </w:tcPr>
          <w:p w14:paraId="481661D2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bCs/>
                <w:i/>
                <w:i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sz w:val="24"/>
                <w:szCs w:val="24"/>
                <w:highlight w:val="none"/>
              </w:rPr>
              <w:t>P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 xml:space="preserve"> value</w:t>
            </w:r>
          </w:p>
        </w:tc>
      </w:tr>
      <w:tr w14:paraId="6003F8CB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8" w:type="pct"/>
            <w:tcBorders>
              <w:top w:val="single" w:color="auto" w:sz="8" w:space="0"/>
            </w:tcBorders>
            <w:vAlign w:val="center"/>
          </w:tcPr>
          <w:p w14:paraId="05D2FF78"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Type of surgery,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none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(%)</w:t>
            </w:r>
          </w:p>
        </w:tc>
        <w:tc>
          <w:tcPr>
            <w:tcW w:w="1072" w:type="pct"/>
            <w:tcBorders>
              <w:top w:val="single" w:color="auto" w:sz="8" w:space="0"/>
            </w:tcBorders>
            <w:vAlign w:val="center"/>
          </w:tcPr>
          <w:p w14:paraId="5B33FF5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72" w:type="pct"/>
            <w:tcBorders>
              <w:top w:val="single" w:color="auto" w:sz="8" w:space="0"/>
            </w:tcBorders>
            <w:vAlign w:val="center"/>
          </w:tcPr>
          <w:p w14:paraId="27C11BE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72" w:type="pct"/>
            <w:tcBorders>
              <w:top w:val="single" w:color="auto" w:sz="8" w:space="0"/>
            </w:tcBorders>
            <w:vAlign w:val="center"/>
          </w:tcPr>
          <w:p w14:paraId="253F1F3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05" w:type="pct"/>
            <w:tcBorders>
              <w:top w:val="single" w:color="auto" w:sz="8" w:space="0"/>
            </w:tcBorders>
            <w:vAlign w:val="center"/>
          </w:tcPr>
          <w:p w14:paraId="6F71BA8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0.453</w:t>
            </w:r>
          </w:p>
        </w:tc>
      </w:tr>
      <w:tr w14:paraId="170CA6BB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8" w:type="pct"/>
            <w:vAlign w:val="center"/>
          </w:tcPr>
          <w:p w14:paraId="1186EF02">
            <w:pPr>
              <w:ind w:firstLine="240" w:firstLineChars="10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Valve</w:t>
            </w:r>
          </w:p>
        </w:tc>
        <w:tc>
          <w:tcPr>
            <w:tcW w:w="1072" w:type="pct"/>
            <w:vAlign w:val="center"/>
          </w:tcPr>
          <w:p w14:paraId="621A12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97 (75.19)</w:t>
            </w:r>
          </w:p>
        </w:tc>
        <w:tc>
          <w:tcPr>
            <w:tcW w:w="1072" w:type="pct"/>
            <w:vAlign w:val="center"/>
          </w:tcPr>
          <w:p w14:paraId="4605371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52 (81.25)</w:t>
            </w:r>
          </w:p>
        </w:tc>
        <w:tc>
          <w:tcPr>
            <w:tcW w:w="1072" w:type="pct"/>
            <w:vAlign w:val="center"/>
          </w:tcPr>
          <w:p w14:paraId="7FAC509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45 (69.23)</w:t>
            </w:r>
          </w:p>
        </w:tc>
        <w:tc>
          <w:tcPr>
            <w:tcW w:w="305" w:type="pct"/>
            <w:vAlign w:val="center"/>
          </w:tcPr>
          <w:p w14:paraId="2B45DC6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6C529677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8" w:type="pct"/>
            <w:vAlign w:val="center"/>
          </w:tcPr>
          <w:p w14:paraId="4D1EB6C7">
            <w:pPr>
              <w:ind w:firstLine="240" w:firstLineChars="10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CABG</w:t>
            </w:r>
          </w:p>
        </w:tc>
        <w:tc>
          <w:tcPr>
            <w:tcW w:w="1072" w:type="pct"/>
            <w:vAlign w:val="center"/>
          </w:tcPr>
          <w:p w14:paraId="572C130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19 (14.73)</w:t>
            </w:r>
          </w:p>
        </w:tc>
        <w:tc>
          <w:tcPr>
            <w:tcW w:w="1072" w:type="pct"/>
            <w:vAlign w:val="center"/>
          </w:tcPr>
          <w:p w14:paraId="5B25E8A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7 (10.94)</w:t>
            </w:r>
          </w:p>
        </w:tc>
        <w:tc>
          <w:tcPr>
            <w:tcW w:w="1072" w:type="pct"/>
            <w:vAlign w:val="center"/>
          </w:tcPr>
          <w:p w14:paraId="6005D0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12 (18.46)</w:t>
            </w:r>
          </w:p>
        </w:tc>
        <w:tc>
          <w:tcPr>
            <w:tcW w:w="305" w:type="pct"/>
            <w:vAlign w:val="center"/>
          </w:tcPr>
          <w:p w14:paraId="531F662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7399C228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8" w:type="pct"/>
            <w:vAlign w:val="center"/>
          </w:tcPr>
          <w:p w14:paraId="65DBDD09">
            <w:pPr>
              <w:ind w:firstLine="240" w:firstLineChars="10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Valve + CABG</w:t>
            </w:r>
          </w:p>
        </w:tc>
        <w:tc>
          <w:tcPr>
            <w:tcW w:w="1072" w:type="pct"/>
            <w:vAlign w:val="center"/>
          </w:tcPr>
          <w:p w14:paraId="4615FC6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7 (5.43)</w:t>
            </w:r>
          </w:p>
        </w:tc>
        <w:tc>
          <w:tcPr>
            <w:tcW w:w="1072" w:type="pct"/>
            <w:vAlign w:val="center"/>
          </w:tcPr>
          <w:p w14:paraId="574FD7C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3 (4.69)</w:t>
            </w:r>
          </w:p>
        </w:tc>
        <w:tc>
          <w:tcPr>
            <w:tcW w:w="1072" w:type="pct"/>
            <w:vAlign w:val="center"/>
          </w:tcPr>
          <w:p w14:paraId="6E1BB2C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4 (6.15)</w:t>
            </w:r>
          </w:p>
        </w:tc>
        <w:tc>
          <w:tcPr>
            <w:tcW w:w="305" w:type="pct"/>
            <w:vAlign w:val="center"/>
          </w:tcPr>
          <w:p w14:paraId="08E2691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1DAFD4CF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8" w:type="pct"/>
            <w:vAlign w:val="center"/>
          </w:tcPr>
          <w:p w14:paraId="5F90FDAB">
            <w:pPr>
              <w:ind w:firstLine="240" w:firstLineChars="10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Other</w:t>
            </w:r>
          </w:p>
        </w:tc>
        <w:tc>
          <w:tcPr>
            <w:tcW w:w="1072" w:type="pct"/>
            <w:vAlign w:val="center"/>
          </w:tcPr>
          <w:p w14:paraId="67C3CDC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6 (4.65)</w:t>
            </w:r>
          </w:p>
        </w:tc>
        <w:tc>
          <w:tcPr>
            <w:tcW w:w="1072" w:type="pct"/>
            <w:vAlign w:val="center"/>
          </w:tcPr>
          <w:p w14:paraId="57576A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2 (3.13)</w:t>
            </w:r>
          </w:p>
        </w:tc>
        <w:tc>
          <w:tcPr>
            <w:tcW w:w="1072" w:type="pct"/>
            <w:vAlign w:val="center"/>
          </w:tcPr>
          <w:p w14:paraId="43B9602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4 (6.15)</w:t>
            </w:r>
          </w:p>
        </w:tc>
        <w:tc>
          <w:tcPr>
            <w:tcW w:w="305" w:type="pct"/>
            <w:vAlign w:val="center"/>
          </w:tcPr>
          <w:p w14:paraId="796A8C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4A61971D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8" w:type="pct"/>
            <w:vAlign w:val="center"/>
          </w:tcPr>
          <w:p w14:paraId="1184C387">
            <w:pP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CPB duration, min, median (IQR)</w:t>
            </w:r>
          </w:p>
        </w:tc>
        <w:tc>
          <w:tcPr>
            <w:tcW w:w="1072" w:type="pct"/>
            <w:vAlign w:val="center"/>
          </w:tcPr>
          <w:p w14:paraId="0586832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131.00 (101.00, 180.00)</w:t>
            </w:r>
          </w:p>
        </w:tc>
        <w:tc>
          <w:tcPr>
            <w:tcW w:w="1072" w:type="pct"/>
            <w:vAlign w:val="center"/>
          </w:tcPr>
          <w:p w14:paraId="1D1522C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127.00 (96.50, 168.75)</w:t>
            </w:r>
          </w:p>
        </w:tc>
        <w:tc>
          <w:tcPr>
            <w:tcW w:w="1072" w:type="pct"/>
            <w:vAlign w:val="center"/>
          </w:tcPr>
          <w:p w14:paraId="15242F6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144.00 (102.50, 186.50)</w:t>
            </w:r>
          </w:p>
        </w:tc>
        <w:tc>
          <w:tcPr>
            <w:tcW w:w="305" w:type="pct"/>
            <w:vAlign w:val="center"/>
          </w:tcPr>
          <w:p w14:paraId="4C6D588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0.364</w:t>
            </w:r>
          </w:p>
        </w:tc>
      </w:tr>
      <w:tr w14:paraId="5820C289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8" w:type="pct"/>
            <w:vAlign w:val="center"/>
          </w:tcPr>
          <w:p w14:paraId="0BF58E84">
            <w:pP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 xml:space="preserve">CPB duration, </w:t>
            </w:r>
            <w:r>
              <w:rPr>
                <w:rFonts w:ascii="Times New Roman" w:hAnsi="Times New Roman" w:eastAsia="宋体" w:cs="Times New Roman"/>
                <w:i/>
                <w:iCs/>
                <w:sz w:val="24"/>
                <w:szCs w:val="24"/>
                <w:highlight w:val="none"/>
              </w:rPr>
              <w:t>n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 xml:space="preserve"> (%)</w:t>
            </w:r>
          </w:p>
        </w:tc>
        <w:tc>
          <w:tcPr>
            <w:tcW w:w="1072" w:type="pct"/>
            <w:vAlign w:val="center"/>
          </w:tcPr>
          <w:p w14:paraId="6BE4BF0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72" w:type="pct"/>
            <w:vAlign w:val="center"/>
          </w:tcPr>
          <w:p w14:paraId="0C56B9A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72" w:type="pct"/>
            <w:vAlign w:val="center"/>
          </w:tcPr>
          <w:p w14:paraId="397A765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05" w:type="pct"/>
            <w:vAlign w:val="center"/>
          </w:tcPr>
          <w:p w14:paraId="06C7782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0.801</w:t>
            </w:r>
          </w:p>
        </w:tc>
      </w:tr>
      <w:tr w14:paraId="50E52BE2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8" w:type="pct"/>
            <w:vAlign w:val="center"/>
          </w:tcPr>
          <w:p w14:paraId="776ECBA5">
            <w:pPr>
              <w:ind w:firstLine="240" w:firstLineChars="100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&lt; 2h</w:t>
            </w:r>
          </w:p>
        </w:tc>
        <w:tc>
          <w:tcPr>
            <w:tcW w:w="1072" w:type="pct"/>
            <w:vAlign w:val="center"/>
          </w:tcPr>
          <w:p w14:paraId="30623BD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53 (41.09)</w:t>
            </w:r>
          </w:p>
        </w:tc>
        <w:tc>
          <w:tcPr>
            <w:tcW w:w="1072" w:type="pct"/>
            <w:vAlign w:val="center"/>
          </w:tcPr>
          <w:p w14:paraId="58AAAAB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27 (57.81)</w:t>
            </w:r>
          </w:p>
        </w:tc>
        <w:tc>
          <w:tcPr>
            <w:tcW w:w="1072" w:type="pct"/>
            <w:vAlign w:val="center"/>
          </w:tcPr>
          <w:p w14:paraId="2E591D5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26 (40.00)</w:t>
            </w:r>
          </w:p>
        </w:tc>
        <w:tc>
          <w:tcPr>
            <w:tcW w:w="305" w:type="pct"/>
            <w:vAlign w:val="center"/>
          </w:tcPr>
          <w:p w14:paraId="0981CF9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060A3BAF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8" w:type="pct"/>
            <w:vAlign w:val="center"/>
          </w:tcPr>
          <w:p w14:paraId="07AB71A2">
            <w:pPr>
              <w:ind w:firstLine="240" w:firstLineChars="100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 xml:space="preserve">≥ 2h </w:t>
            </w:r>
          </w:p>
        </w:tc>
        <w:tc>
          <w:tcPr>
            <w:tcW w:w="1072" w:type="pct"/>
            <w:vAlign w:val="center"/>
          </w:tcPr>
          <w:p w14:paraId="7FEB0E3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76 (58.91)</w:t>
            </w:r>
          </w:p>
        </w:tc>
        <w:tc>
          <w:tcPr>
            <w:tcW w:w="1072" w:type="pct"/>
            <w:vAlign w:val="center"/>
          </w:tcPr>
          <w:p w14:paraId="22C4357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37 (57.81)</w:t>
            </w:r>
          </w:p>
        </w:tc>
        <w:tc>
          <w:tcPr>
            <w:tcW w:w="1072" w:type="pct"/>
            <w:vAlign w:val="center"/>
          </w:tcPr>
          <w:p w14:paraId="7C2B376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39 (60.00)</w:t>
            </w:r>
          </w:p>
        </w:tc>
        <w:tc>
          <w:tcPr>
            <w:tcW w:w="305" w:type="pct"/>
            <w:vAlign w:val="center"/>
          </w:tcPr>
          <w:p w14:paraId="2F188CF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03CC0E56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8" w:type="pct"/>
            <w:vAlign w:val="center"/>
          </w:tcPr>
          <w:p w14:paraId="16C193DC">
            <w:pP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Operation duration, min, median (IQR)</w:t>
            </w:r>
          </w:p>
        </w:tc>
        <w:tc>
          <w:tcPr>
            <w:tcW w:w="1072" w:type="pct"/>
            <w:vAlign w:val="center"/>
          </w:tcPr>
          <w:p w14:paraId="1715487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270.00 (235.00, 325.00)</w:t>
            </w:r>
          </w:p>
        </w:tc>
        <w:tc>
          <w:tcPr>
            <w:tcW w:w="1072" w:type="pct"/>
            <w:vAlign w:val="center"/>
          </w:tcPr>
          <w:p w14:paraId="7D3C94A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265.00 (226.00, 318.75)</w:t>
            </w:r>
          </w:p>
        </w:tc>
        <w:tc>
          <w:tcPr>
            <w:tcW w:w="1072" w:type="pct"/>
            <w:vAlign w:val="center"/>
          </w:tcPr>
          <w:p w14:paraId="6F16CB3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290.00 (235.00, 330.00)</w:t>
            </w:r>
          </w:p>
        </w:tc>
        <w:tc>
          <w:tcPr>
            <w:tcW w:w="305" w:type="pct"/>
            <w:vAlign w:val="center"/>
          </w:tcPr>
          <w:p w14:paraId="6A032E7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0.242</w:t>
            </w:r>
          </w:p>
        </w:tc>
      </w:tr>
      <w:tr w14:paraId="337371AE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8" w:type="pct"/>
            <w:vAlign w:val="center"/>
          </w:tcPr>
          <w:p w14:paraId="34306ABE">
            <w:pP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 xml:space="preserve">Operation duration, </w:t>
            </w:r>
            <w:r>
              <w:rPr>
                <w:rFonts w:ascii="Times New Roman" w:hAnsi="Times New Roman" w:eastAsia="宋体" w:cs="Times New Roman"/>
                <w:i/>
                <w:iCs/>
                <w:sz w:val="24"/>
                <w:szCs w:val="24"/>
                <w:highlight w:val="none"/>
              </w:rPr>
              <w:t>n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 xml:space="preserve"> (%)</w:t>
            </w:r>
          </w:p>
        </w:tc>
        <w:tc>
          <w:tcPr>
            <w:tcW w:w="1072" w:type="pct"/>
            <w:vAlign w:val="center"/>
          </w:tcPr>
          <w:p w14:paraId="57B02B9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72" w:type="pct"/>
            <w:vAlign w:val="center"/>
          </w:tcPr>
          <w:p w14:paraId="14FA233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72" w:type="pct"/>
            <w:vAlign w:val="center"/>
          </w:tcPr>
          <w:p w14:paraId="395B166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05" w:type="pct"/>
            <w:vAlign w:val="center"/>
          </w:tcPr>
          <w:p w14:paraId="1B09F0C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0.517</w:t>
            </w:r>
          </w:p>
        </w:tc>
      </w:tr>
      <w:tr w14:paraId="59306E34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478" w:type="pct"/>
            <w:vAlign w:val="center"/>
          </w:tcPr>
          <w:p w14:paraId="17BFA367">
            <w:pPr>
              <w:ind w:firstLine="240" w:firstLineChars="100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&lt; 4h</w:t>
            </w:r>
          </w:p>
        </w:tc>
        <w:tc>
          <w:tcPr>
            <w:tcW w:w="1072" w:type="pct"/>
            <w:vAlign w:val="center"/>
          </w:tcPr>
          <w:p w14:paraId="45172F4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35 (27.13)</w:t>
            </w:r>
          </w:p>
        </w:tc>
        <w:tc>
          <w:tcPr>
            <w:tcW w:w="1072" w:type="pct"/>
            <w:vAlign w:val="center"/>
          </w:tcPr>
          <w:p w14:paraId="14748C5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19 (70.31)</w:t>
            </w:r>
          </w:p>
        </w:tc>
        <w:tc>
          <w:tcPr>
            <w:tcW w:w="1072" w:type="pct"/>
            <w:vAlign w:val="center"/>
          </w:tcPr>
          <w:p w14:paraId="4567D92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16 (24.62)</w:t>
            </w:r>
          </w:p>
        </w:tc>
        <w:tc>
          <w:tcPr>
            <w:tcW w:w="305" w:type="pct"/>
            <w:vAlign w:val="center"/>
          </w:tcPr>
          <w:p w14:paraId="5654987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578EAEB2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8" w:type="pct"/>
            <w:vAlign w:val="center"/>
          </w:tcPr>
          <w:p w14:paraId="22737DDF">
            <w:pPr>
              <w:ind w:firstLine="240" w:firstLineChars="100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≥ 4h</w:t>
            </w:r>
          </w:p>
        </w:tc>
        <w:tc>
          <w:tcPr>
            <w:tcW w:w="1072" w:type="pct"/>
            <w:vAlign w:val="center"/>
          </w:tcPr>
          <w:p w14:paraId="45CF93C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94 (72.87)</w:t>
            </w:r>
          </w:p>
        </w:tc>
        <w:tc>
          <w:tcPr>
            <w:tcW w:w="1072" w:type="pct"/>
            <w:vAlign w:val="center"/>
          </w:tcPr>
          <w:p w14:paraId="4F860C8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45 (70.31)</w:t>
            </w:r>
          </w:p>
        </w:tc>
        <w:tc>
          <w:tcPr>
            <w:tcW w:w="1072" w:type="pct"/>
            <w:vAlign w:val="center"/>
          </w:tcPr>
          <w:p w14:paraId="51EA390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49 (75.38)</w:t>
            </w:r>
          </w:p>
        </w:tc>
        <w:tc>
          <w:tcPr>
            <w:tcW w:w="305" w:type="pct"/>
            <w:vAlign w:val="center"/>
          </w:tcPr>
          <w:p w14:paraId="5C6281A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0A72A7A5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8" w:type="pct"/>
            <w:vAlign w:val="center"/>
          </w:tcPr>
          <w:p w14:paraId="7B88417F">
            <w:pP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Crystal solution, ml, median (IQR)</w:t>
            </w:r>
          </w:p>
        </w:tc>
        <w:tc>
          <w:tcPr>
            <w:tcW w:w="1072" w:type="pct"/>
            <w:vAlign w:val="center"/>
          </w:tcPr>
          <w:p w14:paraId="197ED4D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2093.00 (1593.50, 2459.50)</w:t>
            </w:r>
          </w:p>
        </w:tc>
        <w:tc>
          <w:tcPr>
            <w:tcW w:w="1072" w:type="pct"/>
            <w:vAlign w:val="center"/>
          </w:tcPr>
          <w:p w14:paraId="38FF71A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2144.50 (1746.00, 2494.50)</w:t>
            </w:r>
          </w:p>
        </w:tc>
        <w:tc>
          <w:tcPr>
            <w:tcW w:w="1072" w:type="pct"/>
            <w:vAlign w:val="center"/>
          </w:tcPr>
          <w:p w14:paraId="767AB10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1955.00 (1523.00, 2405.00)</w:t>
            </w:r>
          </w:p>
        </w:tc>
        <w:tc>
          <w:tcPr>
            <w:tcW w:w="305" w:type="pct"/>
            <w:vAlign w:val="center"/>
          </w:tcPr>
          <w:p w14:paraId="2266536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0.116</w:t>
            </w:r>
          </w:p>
        </w:tc>
      </w:tr>
      <w:tr w14:paraId="085B798C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8" w:type="pct"/>
            <w:vAlign w:val="center"/>
          </w:tcPr>
          <w:p w14:paraId="3427A3ED">
            <w:pP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Autologous blood, ml, median (IQR)</w:t>
            </w:r>
          </w:p>
        </w:tc>
        <w:tc>
          <w:tcPr>
            <w:tcW w:w="1072" w:type="pct"/>
            <w:vAlign w:val="center"/>
          </w:tcPr>
          <w:p w14:paraId="349BB5F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900.00 (700.00, 1000.00)</w:t>
            </w:r>
          </w:p>
        </w:tc>
        <w:tc>
          <w:tcPr>
            <w:tcW w:w="1072" w:type="pct"/>
            <w:vAlign w:val="center"/>
          </w:tcPr>
          <w:p w14:paraId="2E3673A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900.00 (725.00, 1075.00)</w:t>
            </w:r>
          </w:p>
        </w:tc>
        <w:tc>
          <w:tcPr>
            <w:tcW w:w="1072" w:type="pct"/>
            <w:vAlign w:val="center"/>
          </w:tcPr>
          <w:p w14:paraId="5736F48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900.00 (700.00, 1000.00)</w:t>
            </w:r>
          </w:p>
        </w:tc>
        <w:tc>
          <w:tcPr>
            <w:tcW w:w="305" w:type="pct"/>
            <w:vAlign w:val="center"/>
          </w:tcPr>
          <w:p w14:paraId="5791CC3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0.575</w:t>
            </w:r>
          </w:p>
        </w:tc>
      </w:tr>
      <w:tr w14:paraId="4182ACAC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8" w:type="pct"/>
            <w:vAlign w:val="center"/>
          </w:tcPr>
          <w:p w14:paraId="039C3A19">
            <w:pP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Bleeding volume, ml, median (IQR)</w:t>
            </w:r>
          </w:p>
        </w:tc>
        <w:tc>
          <w:tcPr>
            <w:tcW w:w="1072" w:type="pct"/>
            <w:vAlign w:val="center"/>
          </w:tcPr>
          <w:p w14:paraId="27E202D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500.00 (400.00, 500.00)</w:t>
            </w:r>
          </w:p>
        </w:tc>
        <w:tc>
          <w:tcPr>
            <w:tcW w:w="1072" w:type="pct"/>
            <w:vAlign w:val="center"/>
          </w:tcPr>
          <w:p w14:paraId="6745EE8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500.00 (400.00, 500.00)</w:t>
            </w:r>
          </w:p>
        </w:tc>
        <w:tc>
          <w:tcPr>
            <w:tcW w:w="1072" w:type="pct"/>
            <w:vAlign w:val="center"/>
          </w:tcPr>
          <w:p w14:paraId="32ED57C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500.00 (450.00, 500.00)</w:t>
            </w:r>
          </w:p>
        </w:tc>
        <w:tc>
          <w:tcPr>
            <w:tcW w:w="305" w:type="pct"/>
            <w:vAlign w:val="center"/>
          </w:tcPr>
          <w:p w14:paraId="58781C9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0.524</w:t>
            </w:r>
          </w:p>
        </w:tc>
      </w:tr>
      <w:tr w14:paraId="4ADF3AF4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8" w:type="pct"/>
            <w:vAlign w:val="center"/>
          </w:tcPr>
          <w:p w14:paraId="76F30FBF">
            <w:pP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Urine volume, ml, median (IQR)</w:t>
            </w:r>
          </w:p>
        </w:tc>
        <w:tc>
          <w:tcPr>
            <w:tcW w:w="1072" w:type="pct"/>
            <w:vAlign w:val="center"/>
          </w:tcPr>
          <w:p w14:paraId="2FF1585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1500.00 (1000.00, 2000.00)</w:t>
            </w:r>
          </w:p>
        </w:tc>
        <w:tc>
          <w:tcPr>
            <w:tcW w:w="1072" w:type="pct"/>
            <w:vAlign w:val="center"/>
          </w:tcPr>
          <w:p w14:paraId="041875E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1500.00 (1200.00, 2000.00)</w:t>
            </w:r>
          </w:p>
        </w:tc>
        <w:tc>
          <w:tcPr>
            <w:tcW w:w="1072" w:type="pct"/>
            <w:vAlign w:val="center"/>
          </w:tcPr>
          <w:p w14:paraId="3F24731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1500.00 (950.00, 2000.00)</w:t>
            </w:r>
          </w:p>
        </w:tc>
        <w:tc>
          <w:tcPr>
            <w:tcW w:w="305" w:type="pct"/>
            <w:vAlign w:val="center"/>
          </w:tcPr>
          <w:p w14:paraId="536F8B4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0.520</w:t>
            </w:r>
          </w:p>
        </w:tc>
      </w:tr>
      <w:tr w14:paraId="61B1E9AD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8" w:type="pct"/>
            <w:vAlign w:val="center"/>
          </w:tcPr>
          <w:p w14:paraId="4426F1ED">
            <w:pP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 xml:space="preserve">Red cells suspension, </w:t>
            </w:r>
            <w:r>
              <w:rPr>
                <w:rFonts w:ascii="Times New Roman" w:hAnsi="Times New Roman" w:eastAsia="宋体" w:cs="Times New Roman"/>
                <w:i/>
                <w:iCs/>
                <w:sz w:val="24"/>
                <w:szCs w:val="24"/>
                <w:highlight w:val="none"/>
              </w:rPr>
              <w:t>n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 xml:space="preserve"> (%)</w:t>
            </w:r>
          </w:p>
        </w:tc>
        <w:tc>
          <w:tcPr>
            <w:tcW w:w="1072" w:type="pct"/>
            <w:vAlign w:val="center"/>
          </w:tcPr>
          <w:p w14:paraId="3F3B61A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15 (11.63)</w:t>
            </w:r>
          </w:p>
        </w:tc>
        <w:tc>
          <w:tcPr>
            <w:tcW w:w="1072" w:type="pct"/>
            <w:vAlign w:val="center"/>
          </w:tcPr>
          <w:p w14:paraId="1ABB08C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11 (17.19)</w:t>
            </w:r>
          </w:p>
        </w:tc>
        <w:tc>
          <w:tcPr>
            <w:tcW w:w="1072" w:type="pct"/>
            <w:vAlign w:val="center"/>
          </w:tcPr>
          <w:p w14:paraId="0B2DBA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4 (6.15)</w:t>
            </w:r>
          </w:p>
        </w:tc>
        <w:tc>
          <w:tcPr>
            <w:tcW w:w="305" w:type="pct"/>
            <w:vAlign w:val="center"/>
          </w:tcPr>
          <w:p w14:paraId="78352DDF">
            <w:pPr>
              <w:jc w:val="center"/>
              <w:rPr>
                <w:rFonts w:ascii="Times New Roman" w:hAnsi="Times New Roman" w:cs="Times New Roman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0.093</w:t>
            </w:r>
          </w:p>
        </w:tc>
      </w:tr>
      <w:tr w14:paraId="0102BFCB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8" w:type="pct"/>
            <w:vAlign w:val="center"/>
          </w:tcPr>
          <w:p w14:paraId="4605C035">
            <w:pP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 xml:space="preserve">Plasma, </w:t>
            </w:r>
            <w:r>
              <w:rPr>
                <w:rFonts w:ascii="Times New Roman" w:hAnsi="Times New Roman" w:eastAsia="宋体" w:cs="Times New Roman"/>
                <w:i/>
                <w:iCs/>
                <w:sz w:val="24"/>
                <w:szCs w:val="24"/>
                <w:highlight w:val="none"/>
              </w:rPr>
              <w:t>n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 xml:space="preserve"> (%)</w:t>
            </w:r>
          </w:p>
        </w:tc>
        <w:tc>
          <w:tcPr>
            <w:tcW w:w="1072" w:type="pct"/>
            <w:vAlign w:val="center"/>
          </w:tcPr>
          <w:p w14:paraId="578A334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34 (26.36)</w:t>
            </w:r>
          </w:p>
        </w:tc>
        <w:tc>
          <w:tcPr>
            <w:tcW w:w="1072" w:type="pct"/>
            <w:vAlign w:val="center"/>
          </w:tcPr>
          <w:p w14:paraId="2ED4AA0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18 (28.13)</w:t>
            </w:r>
          </w:p>
        </w:tc>
        <w:tc>
          <w:tcPr>
            <w:tcW w:w="1072" w:type="pct"/>
            <w:vAlign w:val="center"/>
          </w:tcPr>
          <w:p w14:paraId="4D7C6C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16 (24.62)</w:t>
            </w:r>
          </w:p>
        </w:tc>
        <w:tc>
          <w:tcPr>
            <w:tcW w:w="305" w:type="pct"/>
            <w:vAlign w:val="center"/>
          </w:tcPr>
          <w:p w14:paraId="56C9510C">
            <w:pPr>
              <w:jc w:val="center"/>
              <w:rPr>
                <w:rFonts w:ascii="Times New Roman" w:hAnsi="Times New Roman" w:cs="Times New Roman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0.651</w:t>
            </w:r>
          </w:p>
        </w:tc>
      </w:tr>
      <w:tr w14:paraId="6D5C9853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8" w:type="pct"/>
            <w:vAlign w:val="center"/>
          </w:tcPr>
          <w:p w14:paraId="7C0EB259">
            <w:pP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 xml:space="preserve">Platelet concentrate, </w:t>
            </w:r>
            <w:r>
              <w:rPr>
                <w:rFonts w:ascii="Times New Roman" w:hAnsi="Times New Roman" w:eastAsia="宋体" w:cs="Times New Roman"/>
                <w:i/>
                <w:iCs/>
                <w:sz w:val="24"/>
                <w:szCs w:val="24"/>
                <w:highlight w:val="none"/>
              </w:rPr>
              <w:t>n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 xml:space="preserve"> (%)</w:t>
            </w:r>
          </w:p>
        </w:tc>
        <w:tc>
          <w:tcPr>
            <w:tcW w:w="1072" w:type="pct"/>
            <w:vAlign w:val="center"/>
          </w:tcPr>
          <w:p w14:paraId="5DABB3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12 (9.30)</w:t>
            </w:r>
          </w:p>
        </w:tc>
        <w:tc>
          <w:tcPr>
            <w:tcW w:w="1072" w:type="pct"/>
            <w:vAlign w:val="center"/>
          </w:tcPr>
          <w:p w14:paraId="2B5BFB0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5 (7.81)</w:t>
            </w:r>
          </w:p>
        </w:tc>
        <w:tc>
          <w:tcPr>
            <w:tcW w:w="1072" w:type="pct"/>
            <w:vAlign w:val="center"/>
          </w:tcPr>
          <w:p w14:paraId="6BA2D42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7 (10.77)</w:t>
            </w:r>
          </w:p>
        </w:tc>
        <w:tc>
          <w:tcPr>
            <w:tcW w:w="305" w:type="pct"/>
            <w:vAlign w:val="center"/>
          </w:tcPr>
          <w:p w14:paraId="151DFDD0">
            <w:pPr>
              <w:jc w:val="center"/>
              <w:rPr>
                <w:rFonts w:ascii="Times New Roman" w:hAnsi="Times New Roman" w:cs="Times New Roman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0.783</w:t>
            </w:r>
          </w:p>
        </w:tc>
      </w:tr>
      <w:tr w14:paraId="24ABAED5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8" w:type="pct"/>
            <w:vAlign w:val="center"/>
          </w:tcPr>
          <w:p w14:paraId="7AFD4F72">
            <w:pP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 xml:space="preserve">Cryoprecipitate, </w:t>
            </w:r>
            <w:r>
              <w:rPr>
                <w:rFonts w:ascii="Times New Roman" w:hAnsi="Times New Roman" w:eastAsia="宋体" w:cs="Times New Roman"/>
                <w:i/>
                <w:iCs/>
                <w:sz w:val="24"/>
                <w:szCs w:val="24"/>
                <w:highlight w:val="none"/>
              </w:rPr>
              <w:t>n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 xml:space="preserve"> (%)</w:t>
            </w:r>
          </w:p>
        </w:tc>
        <w:tc>
          <w:tcPr>
            <w:tcW w:w="1072" w:type="pct"/>
            <w:vAlign w:val="center"/>
          </w:tcPr>
          <w:p w14:paraId="3AF17F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14 (10.85)</w:t>
            </w:r>
          </w:p>
        </w:tc>
        <w:tc>
          <w:tcPr>
            <w:tcW w:w="1072" w:type="pct"/>
            <w:vAlign w:val="center"/>
          </w:tcPr>
          <w:p w14:paraId="00A027E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7 (10.94)</w:t>
            </w:r>
          </w:p>
        </w:tc>
        <w:tc>
          <w:tcPr>
            <w:tcW w:w="1072" w:type="pct"/>
            <w:vAlign w:val="center"/>
          </w:tcPr>
          <w:p w14:paraId="49EB2F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7 (10.77)</w:t>
            </w:r>
          </w:p>
        </w:tc>
        <w:tc>
          <w:tcPr>
            <w:tcW w:w="305" w:type="pct"/>
            <w:vAlign w:val="center"/>
          </w:tcPr>
          <w:p w14:paraId="4E0405E4">
            <w:pPr>
              <w:jc w:val="center"/>
              <w:rPr>
                <w:rFonts w:ascii="Times New Roman" w:hAnsi="Times New Roman" w:cs="Times New Roman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0.975</w:t>
            </w:r>
          </w:p>
        </w:tc>
      </w:tr>
      <w:tr w14:paraId="4D19E294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8" w:type="pct"/>
            <w:vAlign w:val="center"/>
          </w:tcPr>
          <w:p w14:paraId="3605CAFF">
            <w:pPr>
              <w:topLinePunct/>
              <w:jc w:val="lef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Dosage of perioperative anaesthetic</w:t>
            </w:r>
          </w:p>
          <w:p w14:paraId="12AF22ED">
            <w:pPr>
              <w:topLinePunct/>
              <w:jc w:val="lef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drugs</w:t>
            </w:r>
          </w:p>
        </w:tc>
        <w:tc>
          <w:tcPr>
            <w:tcW w:w="1072" w:type="pct"/>
            <w:vAlign w:val="center"/>
          </w:tcPr>
          <w:p w14:paraId="01D9BD8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72" w:type="pct"/>
            <w:vAlign w:val="center"/>
          </w:tcPr>
          <w:p w14:paraId="455D611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72" w:type="pct"/>
            <w:vAlign w:val="center"/>
          </w:tcPr>
          <w:p w14:paraId="33E3814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05" w:type="pct"/>
            <w:vAlign w:val="center"/>
          </w:tcPr>
          <w:p w14:paraId="6C85976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21C03A13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8" w:type="pct"/>
            <w:vAlign w:val="center"/>
          </w:tcPr>
          <w:p w14:paraId="439EA74E">
            <w:pPr>
              <w:topLinePunct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Ciprofol/Propofol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mL, median (IQR)</w:t>
            </w:r>
          </w:p>
        </w:tc>
        <w:tc>
          <w:tcPr>
            <w:tcW w:w="1072" w:type="pct"/>
            <w:vAlign w:val="center"/>
          </w:tcPr>
          <w:p w14:paraId="49EE2AA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141.30 (115.22, 172.10)</w:t>
            </w:r>
          </w:p>
        </w:tc>
        <w:tc>
          <w:tcPr>
            <w:tcW w:w="1072" w:type="pct"/>
            <w:vAlign w:val="center"/>
          </w:tcPr>
          <w:p w14:paraId="771AB1C0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141.00 (118.20, 166.43)</w:t>
            </w:r>
          </w:p>
        </w:tc>
        <w:tc>
          <w:tcPr>
            <w:tcW w:w="1072" w:type="pct"/>
            <w:vAlign w:val="center"/>
          </w:tcPr>
          <w:p w14:paraId="5A9A60EA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142.80 (121.23, 182.50)</w:t>
            </w:r>
          </w:p>
        </w:tc>
        <w:tc>
          <w:tcPr>
            <w:tcW w:w="305" w:type="pct"/>
            <w:vAlign w:val="center"/>
          </w:tcPr>
          <w:p w14:paraId="62D9DC3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0.343</w:t>
            </w:r>
          </w:p>
        </w:tc>
      </w:tr>
      <w:tr w14:paraId="52AB6F35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8" w:type="pct"/>
            <w:vAlign w:val="center"/>
          </w:tcPr>
          <w:p w14:paraId="36FD764B">
            <w:pPr>
              <w:ind w:firstLine="240" w:firstLineChars="10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Midazolam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mg, median (IQR)</w:t>
            </w:r>
          </w:p>
        </w:tc>
        <w:tc>
          <w:tcPr>
            <w:tcW w:w="1072" w:type="pct"/>
            <w:vAlign w:val="center"/>
          </w:tcPr>
          <w:p w14:paraId="173481E7">
            <w:pPr>
              <w:jc w:val="center"/>
              <w:rPr>
                <w:rFonts w:ascii="Times New Roman" w:hAnsi="Times New Roman" w:cs="Times New Roman"/>
                <w:color w:val="auto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7.00 </w:t>
            </w:r>
            <w:r>
              <w:rPr>
                <w:rFonts w:ascii="Times New Roman" w:hAnsi="Times New Roman" w:eastAsia="Microsoft JhengHei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(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5.00</w:t>
            </w:r>
            <w:r>
              <w:rPr>
                <w:rFonts w:ascii="Times New Roman" w:hAnsi="Times New Roman" w:eastAsia="Microsoft JhengHei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,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 9.00</w:t>
            </w:r>
            <w:r>
              <w:rPr>
                <w:rFonts w:ascii="Times New Roman" w:hAnsi="Times New Roman" w:eastAsia="Microsoft JhengHei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)</w:t>
            </w:r>
          </w:p>
        </w:tc>
        <w:tc>
          <w:tcPr>
            <w:tcW w:w="1072" w:type="pct"/>
            <w:vAlign w:val="center"/>
          </w:tcPr>
          <w:p w14:paraId="214E2464">
            <w:pPr>
              <w:jc w:val="center"/>
              <w:rPr>
                <w:rFonts w:ascii="Times New Roman" w:hAnsi="Times New Roman" w:cs="Times New Roman"/>
                <w:color w:val="auto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7.50 </w:t>
            </w:r>
            <w:r>
              <w:rPr>
                <w:rFonts w:ascii="Times New Roman" w:hAnsi="Times New Roman" w:eastAsia="Microsoft JhengHei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(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5.00</w:t>
            </w:r>
            <w:r>
              <w:rPr>
                <w:rFonts w:ascii="Times New Roman" w:hAnsi="Times New Roman" w:eastAsia="Microsoft JhengHei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,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 9.00</w:t>
            </w:r>
            <w:r>
              <w:rPr>
                <w:rFonts w:ascii="Times New Roman" w:hAnsi="Times New Roman" w:eastAsia="Microsoft JhengHei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)</w:t>
            </w:r>
          </w:p>
        </w:tc>
        <w:tc>
          <w:tcPr>
            <w:tcW w:w="1072" w:type="pct"/>
            <w:vAlign w:val="center"/>
          </w:tcPr>
          <w:p w14:paraId="0E99FA73">
            <w:pPr>
              <w:jc w:val="center"/>
              <w:rPr>
                <w:rFonts w:ascii="Times New Roman" w:hAnsi="Times New Roman" w:cs="Times New Roman"/>
                <w:color w:val="auto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7.00 </w:t>
            </w:r>
            <w:r>
              <w:rPr>
                <w:rFonts w:ascii="Times New Roman" w:hAnsi="Times New Roman" w:eastAsia="Microsoft JhengHei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(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5.00</w:t>
            </w:r>
            <w:r>
              <w:rPr>
                <w:rFonts w:ascii="Times New Roman" w:hAnsi="Times New Roman" w:eastAsia="Microsoft JhengHei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,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 9.50</w:t>
            </w:r>
            <w:r>
              <w:rPr>
                <w:rFonts w:ascii="Times New Roman" w:hAnsi="Times New Roman" w:eastAsia="Microsoft JhengHei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)</w:t>
            </w:r>
          </w:p>
        </w:tc>
        <w:tc>
          <w:tcPr>
            <w:tcW w:w="305" w:type="pct"/>
            <w:vAlign w:val="center"/>
          </w:tcPr>
          <w:p w14:paraId="72B28EFF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0.962</w:t>
            </w:r>
          </w:p>
        </w:tc>
      </w:tr>
      <w:tr w14:paraId="6A527AF9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8" w:type="pct"/>
            <w:vAlign w:val="center"/>
          </w:tcPr>
          <w:p w14:paraId="153CAA5A">
            <w:pPr>
              <w:ind w:firstLine="240" w:firstLineChars="10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2" w:name="_Hlk169210950"/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Sufentanil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strike w:val="0"/>
                <w:dstrike w:val="0"/>
                <w:sz w:val="24"/>
                <w:szCs w:val="24"/>
                <w:highlight w:val="none"/>
              </w:rPr>
              <w:t>ug</w:t>
            </w:r>
            <w:r>
              <w:rPr>
                <w:rFonts w:hint="eastAsia" w:ascii="Times New Roman" w:hAnsi="Times New Roman" w:eastAsia="宋体" w:cs="Times New Roman"/>
                <w:strike w:val="0"/>
                <w:dstrike w:val="0"/>
                <w:sz w:val="24"/>
                <w:szCs w:val="24"/>
                <w:highlight w:val="none"/>
              </w:rPr>
              <w:t>, median (IQR)</w:t>
            </w:r>
          </w:p>
        </w:tc>
        <w:tc>
          <w:tcPr>
            <w:tcW w:w="1072" w:type="pct"/>
            <w:vAlign w:val="center"/>
          </w:tcPr>
          <w:p w14:paraId="7D88A7C4">
            <w:pPr>
              <w:jc w:val="center"/>
              <w:rPr>
                <w:rFonts w:ascii="Times New Roman" w:hAnsi="Times New Roman" w:cs="Times New Roman"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412.50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 </w:t>
            </w:r>
            <w:r>
              <w:rPr>
                <w:rFonts w:ascii="Times New Roman" w:hAnsi="Times New Roman" w:eastAsia="Microsoft JhengHei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358.13</w:t>
            </w:r>
            <w:r>
              <w:rPr>
                <w:rFonts w:ascii="Times New Roman" w:hAnsi="Times New Roman" w:eastAsia="Microsoft JhengHei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,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479.38</w:t>
            </w:r>
            <w:r>
              <w:rPr>
                <w:rFonts w:ascii="Times New Roman" w:hAnsi="Times New Roman" w:eastAsia="Microsoft JhengHei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)</w:t>
            </w:r>
          </w:p>
        </w:tc>
        <w:tc>
          <w:tcPr>
            <w:tcW w:w="1072" w:type="pct"/>
            <w:vAlign w:val="center"/>
          </w:tcPr>
          <w:p w14:paraId="4A95B9D4">
            <w:pPr>
              <w:jc w:val="center"/>
              <w:rPr>
                <w:rFonts w:ascii="Times New Roman" w:hAnsi="Times New Roman" w:cs="Times New Roman"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401.88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 </w:t>
            </w:r>
            <w:r>
              <w:rPr>
                <w:rFonts w:ascii="Times New Roman" w:hAnsi="Times New Roman" w:eastAsia="Microsoft JhengHei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352.5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  <w:r>
              <w:rPr>
                <w:rFonts w:ascii="Times New Roman" w:hAnsi="Times New Roman" w:eastAsia="Microsoft JhengHei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,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464.69</w:t>
            </w:r>
            <w:r>
              <w:rPr>
                <w:rFonts w:ascii="Times New Roman" w:hAnsi="Times New Roman" w:eastAsia="Microsoft JhengHei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)</w:t>
            </w:r>
          </w:p>
        </w:tc>
        <w:tc>
          <w:tcPr>
            <w:tcW w:w="1072" w:type="pct"/>
            <w:vAlign w:val="center"/>
          </w:tcPr>
          <w:p w14:paraId="63DC359B">
            <w:pPr>
              <w:jc w:val="center"/>
              <w:rPr>
                <w:rFonts w:ascii="Times New Roman" w:hAnsi="Times New Roman" w:cs="Times New Roman"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422.50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 </w:t>
            </w:r>
            <w:r>
              <w:rPr>
                <w:rFonts w:ascii="Times New Roman" w:hAnsi="Times New Roman" w:eastAsia="Microsoft JhengHei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362.5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  <w:r>
              <w:rPr>
                <w:rFonts w:ascii="Times New Roman" w:hAnsi="Times New Roman" w:eastAsia="Microsoft JhengHei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,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490.00</w:t>
            </w:r>
            <w:r>
              <w:rPr>
                <w:rFonts w:ascii="Times New Roman" w:hAnsi="Times New Roman" w:eastAsia="Microsoft JhengHei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)</w:t>
            </w:r>
          </w:p>
        </w:tc>
        <w:tc>
          <w:tcPr>
            <w:tcW w:w="305" w:type="pct"/>
            <w:vAlign w:val="center"/>
          </w:tcPr>
          <w:p w14:paraId="42DA6FB7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414</w:t>
            </w:r>
          </w:p>
        </w:tc>
      </w:tr>
      <w:bookmarkEnd w:id="2"/>
      <w:tr w14:paraId="6A54529B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8" w:type="pct"/>
            <w:vAlign w:val="center"/>
          </w:tcPr>
          <w:p w14:paraId="6A0AF9AC">
            <w:pPr>
              <w:ind w:firstLine="240" w:firstLineChars="10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Rocuronium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mg, median (IQR)</w:t>
            </w:r>
          </w:p>
        </w:tc>
        <w:tc>
          <w:tcPr>
            <w:tcW w:w="1072" w:type="pct"/>
            <w:vAlign w:val="center"/>
          </w:tcPr>
          <w:p w14:paraId="492500A8">
            <w:pPr>
              <w:jc w:val="center"/>
              <w:rPr>
                <w:rFonts w:ascii="Times New Roman" w:hAnsi="Times New Roman" w:cs="Times New Roman"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80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.00 </w:t>
            </w:r>
            <w:r>
              <w:rPr>
                <w:rFonts w:ascii="Times New Roman" w:hAnsi="Times New Roman" w:eastAsia="Microsoft JhengHei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(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50.00</w:t>
            </w:r>
            <w:r>
              <w:rPr>
                <w:rFonts w:ascii="Times New Roman" w:hAnsi="Times New Roman" w:eastAsia="Microsoft JhengHei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,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 100.00</w:t>
            </w:r>
            <w:r>
              <w:rPr>
                <w:rFonts w:ascii="Times New Roman" w:hAnsi="Times New Roman" w:eastAsia="Microsoft JhengHei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)</w:t>
            </w:r>
          </w:p>
        </w:tc>
        <w:tc>
          <w:tcPr>
            <w:tcW w:w="1072" w:type="pct"/>
            <w:vAlign w:val="center"/>
          </w:tcPr>
          <w:p w14:paraId="4D74D472">
            <w:pPr>
              <w:jc w:val="center"/>
              <w:rPr>
                <w:rFonts w:ascii="Times New Roman" w:hAnsi="Times New Roman" w:cs="Times New Roman"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80.00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 </w:t>
            </w:r>
            <w:r>
              <w:rPr>
                <w:rFonts w:ascii="Times New Roman" w:hAnsi="Times New Roman" w:eastAsia="Microsoft JhengHei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(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50.00</w:t>
            </w:r>
            <w:r>
              <w:rPr>
                <w:rFonts w:ascii="Times New Roman" w:hAnsi="Times New Roman" w:eastAsia="Microsoft JhengHei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,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 100.00</w:t>
            </w:r>
            <w:r>
              <w:rPr>
                <w:rFonts w:ascii="Times New Roman" w:hAnsi="Times New Roman" w:eastAsia="Microsoft JhengHei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)</w:t>
            </w:r>
          </w:p>
        </w:tc>
        <w:tc>
          <w:tcPr>
            <w:tcW w:w="1072" w:type="pct"/>
            <w:vAlign w:val="center"/>
          </w:tcPr>
          <w:p w14:paraId="17FACD98">
            <w:pPr>
              <w:jc w:val="center"/>
              <w:rPr>
                <w:rFonts w:ascii="Times New Roman" w:hAnsi="Times New Roman" w:cs="Times New Roman"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8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0.00 </w:t>
            </w:r>
            <w:r>
              <w:rPr>
                <w:rFonts w:ascii="Times New Roman" w:hAnsi="Times New Roman" w:eastAsia="Microsoft JhengHei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(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50.00</w:t>
            </w:r>
            <w:r>
              <w:rPr>
                <w:rFonts w:ascii="Times New Roman" w:hAnsi="Times New Roman" w:eastAsia="Microsoft JhengHei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,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 100.00</w:t>
            </w:r>
            <w:r>
              <w:rPr>
                <w:rFonts w:ascii="Times New Roman" w:hAnsi="Times New Roman" w:eastAsia="Microsoft JhengHei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)</w:t>
            </w:r>
          </w:p>
        </w:tc>
        <w:tc>
          <w:tcPr>
            <w:tcW w:w="305" w:type="pct"/>
            <w:vAlign w:val="center"/>
          </w:tcPr>
          <w:p w14:paraId="0DB66A7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796</w:t>
            </w:r>
          </w:p>
        </w:tc>
      </w:tr>
      <w:tr w14:paraId="3A1C72E2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8" w:type="pct"/>
            <w:vAlign w:val="center"/>
          </w:tcPr>
          <w:p w14:paraId="5008007B">
            <w:pPr>
              <w:ind w:firstLine="240" w:firstLineChars="100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Dexmedetomidine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strike w:val="0"/>
                <w:dstrike w:val="0"/>
                <w:sz w:val="24"/>
                <w:szCs w:val="24"/>
                <w:highlight w:val="none"/>
              </w:rPr>
              <w:t>ug</w:t>
            </w:r>
            <w:r>
              <w:rPr>
                <w:rFonts w:hint="eastAsia" w:ascii="Times New Roman" w:hAnsi="Times New Roman" w:eastAsia="宋体" w:cs="Times New Roman"/>
                <w:strike w:val="0"/>
                <w:dstrike w:val="0"/>
                <w:sz w:val="24"/>
                <w:szCs w:val="24"/>
                <w:highlight w:val="none"/>
              </w:rPr>
              <w:t>, median (IQR)</w:t>
            </w:r>
          </w:p>
        </w:tc>
        <w:tc>
          <w:tcPr>
            <w:tcW w:w="1072" w:type="pct"/>
            <w:vAlign w:val="center"/>
          </w:tcPr>
          <w:p w14:paraId="5367E81F">
            <w:pPr>
              <w:jc w:val="center"/>
              <w:rPr>
                <w:rFonts w:ascii="Times New Roman" w:hAnsi="Times New Roman" w:cs="Times New Roman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 xml:space="preserve">25.50 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20.63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 xml:space="preserve"> 31.45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)</w:t>
            </w:r>
          </w:p>
        </w:tc>
        <w:tc>
          <w:tcPr>
            <w:tcW w:w="1072" w:type="pct"/>
            <w:vAlign w:val="center"/>
          </w:tcPr>
          <w:p w14:paraId="0D4D4AEE">
            <w:pPr>
              <w:jc w:val="center"/>
              <w:rPr>
                <w:rFonts w:ascii="Times New Roman" w:hAnsi="Times New Roman" w:cs="Times New Roman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 xml:space="preserve">24.5.00 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20.56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 xml:space="preserve"> 30.75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)</w:t>
            </w:r>
          </w:p>
        </w:tc>
        <w:tc>
          <w:tcPr>
            <w:tcW w:w="1072" w:type="pct"/>
            <w:vAlign w:val="center"/>
          </w:tcPr>
          <w:p w14:paraId="61778285">
            <w:pPr>
              <w:jc w:val="center"/>
              <w:rPr>
                <w:rFonts w:ascii="Times New Roman" w:hAnsi="Times New Roman" w:cs="Times New Roman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 xml:space="preserve">26.50 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20.42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 xml:space="preserve"> 32.25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)</w:t>
            </w:r>
          </w:p>
        </w:tc>
        <w:tc>
          <w:tcPr>
            <w:tcW w:w="305" w:type="pct"/>
            <w:vAlign w:val="center"/>
          </w:tcPr>
          <w:p w14:paraId="68AA706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0.381</w:t>
            </w:r>
          </w:p>
        </w:tc>
      </w:tr>
      <w:tr w14:paraId="71A81B01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8" w:type="pct"/>
            <w:vAlign w:val="center"/>
          </w:tcPr>
          <w:p w14:paraId="3B9B6E55">
            <w:pPr>
              <w:topLinePunct/>
              <w:jc w:val="lef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Drugs related to coagulation function</w:t>
            </w:r>
          </w:p>
        </w:tc>
        <w:tc>
          <w:tcPr>
            <w:tcW w:w="1072" w:type="pct"/>
            <w:vAlign w:val="center"/>
          </w:tcPr>
          <w:p w14:paraId="2D6381D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72" w:type="pct"/>
            <w:vAlign w:val="center"/>
          </w:tcPr>
          <w:p w14:paraId="4E74FF2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72" w:type="pct"/>
            <w:vAlign w:val="center"/>
          </w:tcPr>
          <w:p w14:paraId="4881778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05" w:type="pct"/>
            <w:vAlign w:val="center"/>
          </w:tcPr>
          <w:p w14:paraId="6C7F95E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4D0F6C9B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8" w:type="pct"/>
            <w:vAlign w:val="center"/>
          </w:tcPr>
          <w:p w14:paraId="3A92A846">
            <w:pPr>
              <w:ind w:firstLine="240" w:firstLineChars="100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Heparin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mg, median (IQR)</w:t>
            </w:r>
          </w:p>
        </w:tc>
        <w:tc>
          <w:tcPr>
            <w:tcW w:w="1072" w:type="pct"/>
            <w:vAlign w:val="center"/>
          </w:tcPr>
          <w:p w14:paraId="5758E4A6">
            <w:pPr>
              <w:jc w:val="center"/>
              <w:rPr>
                <w:rFonts w:ascii="Times New Roman" w:hAnsi="Times New Roman" w:cs="Times New Roman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 xml:space="preserve">200.50 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170.00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 xml:space="preserve"> 250.00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)</w:t>
            </w:r>
          </w:p>
        </w:tc>
        <w:tc>
          <w:tcPr>
            <w:tcW w:w="1072" w:type="pct"/>
            <w:vAlign w:val="center"/>
          </w:tcPr>
          <w:p w14:paraId="6B02E920">
            <w:pPr>
              <w:jc w:val="center"/>
              <w:rPr>
                <w:rFonts w:ascii="Times New Roman" w:hAnsi="Times New Roman" w:cs="Times New Roman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 xml:space="preserve">200.00 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162,50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 xml:space="preserve"> 250.00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)</w:t>
            </w:r>
          </w:p>
        </w:tc>
        <w:tc>
          <w:tcPr>
            <w:tcW w:w="1072" w:type="pct"/>
            <w:vAlign w:val="center"/>
          </w:tcPr>
          <w:p w14:paraId="7C8B6978">
            <w:pPr>
              <w:jc w:val="center"/>
              <w:rPr>
                <w:rFonts w:ascii="Times New Roman" w:hAnsi="Times New Roman" w:cs="Times New Roman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 xml:space="preserve">200.00 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175.00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 xml:space="preserve"> 250.00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)</w:t>
            </w:r>
          </w:p>
        </w:tc>
        <w:tc>
          <w:tcPr>
            <w:tcW w:w="305" w:type="pct"/>
            <w:vAlign w:val="center"/>
          </w:tcPr>
          <w:p w14:paraId="2FB0A73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0.616</w:t>
            </w:r>
          </w:p>
        </w:tc>
      </w:tr>
      <w:tr w14:paraId="27277039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478" w:type="pct"/>
            <w:vAlign w:val="center"/>
          </w:tcPr>
          <w:p w14:paraId="36764B0E">
            <w:pPr>
              <w:ind w:firstLine="240" w:firstLineChars="100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Protamine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mg, median (IQR)</w:t>
            </w:r>
          </w:p>
        </w:tc>
        <w:tc>
          <w:tcPr>
            <w:tcW w:w="1072" w:type="pct"/>
            <w:vAlign w:val="center"/>
          </w:tcPr>
          <w:p w14:paraId="7E13F93C">
            <w:pPr>
              <w:jc w:val="center"/>
              <w:rPr>
                <w:rFonts w:ascii="Times New Roman" w:hAnsi="Times New Roman" w:cs="Times New Roman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 xml:space="preserve">380.00 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320.00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 xml:space="preserve"> 405.00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)</w:t>
            </w:r>
          </w:p>
        </w:tc>
        <w:tc>
          <w:tcPr>
            <w:tcW w:w="1072" w:type="pct"/>
            <w:vAlign w:val="center"/>
          </w:tcPr>
          <w:p w14:paraId="48046490">
            <w:pPr>
              <w:jc w:val="center"/>
              <w:rPr>
                <w:rFonts w:ascii="Times New Roman" w:hAnsi="Times New Roman" w:cs="Times New Roman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 xml:space="preserve">380.00 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330.00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 xml:space="preserve"> 400.00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)</w:t>
            </w:r>
          </w:p>
        </w:tc>
        <w:tc>
          <w:tcPr>
            <w:tcW w:w="1072" w:type="pct"/>
            <w:vAlign w:val="center"/>
          </w:tcPr>
          <w:p w14:paraId="768ED4AC">
            <w:pPr>
              <w:jc w:val="center"/>
              <w:rPr>
                <w:rFonts w:ascii="Times New Roman" w:hAnsi="Times New Roman" w:cs="Times New Roman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 xml:space="preserve">360.00 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320.00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 xml:space="preserve"> 415.00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)</w:t>
            </w:r>
          </w:p>
        </w:tc>
        <w:tc>
          <w:tcPr>
            <w:tcW w:w="305" w:type="pct"/>
            <w:vAlign w:val="center"/>
          </w:tcPr>
          <w:p w14:paraId="4B33D20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0.802</w:t>
            </w:r>
          </w:p>
        </w:tc>
      </w:tr>
      <w:tr w14:paraId="33FA72E2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78" w:type="pct"/>
            <w:vAlign w:val="center"/>
          </w:tcPr>
          <w:p w14:paraId="40D74426">
            <w:pPr>
              <w:topLinePunct/>
              <w:jc w:val="lef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trike w:val="0"/>
                <w:dstrike w:val="0"/>
                <w:sz w:val="24"/>
                <w:szCs w:val="24"/>
                <w:highlight w:val="none"/>
              </w:rPr>
              <w:t>Dosage of cardiovascularactive drugs</w:t>
            </w:r>
          </w:p>
        </w:tc>
        <w:tc>
          <w:tcPr>
            <w:tcW w:w="1072" w:type="pct"/>
            <w:vAlign w:val="center"/>
          </w:tcPr>
          <w:p w14:paraId="050BEA1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72" w:type="pct"/>
            <w:vAlign w:val="center"/>
          </w:tcPr>
          <w:p w14:paraId="4FB85A5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72" w:type="pct"/>
            <w:vAlign w:val="center"/>
          </w:tcPr>
          <w:p w14:paraId="08FA15B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05" w:type="pct"/>
            <w:vAlign w:val="center"/>
          </w:tcPr>
          <w:p w14:paraId="4E8D15D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2C9B9AB9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8" w:type="pct"/>
            <w:vAlign w:val="center"/>
          </w:tcPr>
          <w:p w14:paraId="46A055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宋体" w:cs="Times New Roman"/>
                <w:strike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Style w:val="13"/>
                <w:rFonts w:eastAsia="宋体"/>
                <w:color w:val="auto"/>
                <w:highlight w:val="none"/>
                <w:lang w:val="en-US" w:eastAsia="zh-CN" w:bidi="ar"/>
              </w:rPr>
              <w:t>Dopamine, mg, median (IQR)</w:t>
            </w:r>
          </w:p>
        </w:tc>
        <w:tc>
          <w:tcPr>
            <w:tcW w:w="1072" w:type="pct"/>
            <w:vAlign w:val="center"/>
          </w:tcPr>
          <w:p w14:paraId="02D4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trike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52.50</w:t>
            </w:r>
            <w:r>
              <w:rPr>
                <w:rStyle w:val="13"/>
                <w:rFonts w:eastAsia="宋体"/>
                <w:color w:val="auto"/>
                <w:highlight w:val="none"/>
                <w:lang w:val="en-US" w:eastAsia="zh-CN" w:bidi="ar"/>
              </w:rPr>
              <w:t xml:space="preserve"> (27.30, 77.14)</w:t>
            </w:r>
          </w:p>
        </w:tc>
        <w:tc>
          <w:tcPr>
            <w:tcW w:w="1072" w:type="pct"/>
            <w:vAlign w:val="center"/>
          </w:tcPr>
          <w:p w14:paraId="74FA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trike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47.14</w:t>
            </w:r>
            <w:r>
              <w:rPr>
                <w:rStyle w:val="13"/>
                <w:rFonts w:eastAsia="宋体"/>
                <w:color w:val="auto"/>
                <w:highlight w:val="none"/>
                <w:lang w:val="en-US" w:eastAsia="zh-CN" w:bidi="ar"/>
              </w:rPr>
              <w:t xml:space="preserve"> (24.97, 64.94)</w:t>
            </w:r>
          </w:p>
        </w:tc>
        <w:tc>
          <w:tcPr>
            <w:tcW w:w="1072" w:type="pct"/>
            <w:vAlign w:val="center"/>
          </w:tcPr>
          <w:p w14:paraId="43A3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trike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63.65</w:t>
            </w:r>
            <w:r>
              <w:rPr>
                <w:rStyle w:val="13"/>
                <w:rFonts w:eastAsia="宋体"/>
                <w:color w:val="auto"/>
                <w:highlight w:val="none"/>
                <w:lang w:val="en-US" w:eastAsia="zh-CN" w:bidi="ar"/>
              </w:rPr>
              <w:t xml:space="preserve"> (29.17, 86.10)</w:t>
            </w:r>
          </w:p>
        </w:tc>
        <w:tc>
          <w:tcPr>
            <w:tcW w:w="305" w:type="pct"/>
            <w:vAlign w:val="center"/>
          </w:tcPr>
          <w:p w14:paraId="5B07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trike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0.089</w:t>
            </w:r>
          </w:p>
        </w:tc>
      </w:tr>
      <w:tr w14:paraId="0BA731C3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8" w:type="pct"/>
            <w:vAlign w:val="center"/>
          </w:tcPr>
          <w:p w14:paraId="4D2E27E4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ascii="Times New Roman" w:hAnsi="Times New Roman" w:eastAsia="宋体" w:cs="Times New Roman"/>
                <w:strike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Dobutamine, mg</w:t>
            </w:r>
            <w:r>
              <w:rPr>
                <w:rStyle w:val="13"/>
                <w:rFonts w:eastAsia="宋体"/>
                <w:color w:val="auto"/>
                <w:highlight w:val="none"/>
                <w:lang w:val="en-US" w:eastAsia="zh-CN" w:bidi="ar"/>
              </w:rPr>
              <w:t>, median (IQR)</w:t>
            </w:r>
          </w:p>
        </w:tc>
        <w:tc>
          <w:tcPr>
            <w:tcW w:w="1072" w:type="pct"/>
            <w:vAlign w:val="center"/>
          </w:tcPr>
          <w:p w14:paraId="1A69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trike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52.50</w:t>
            </w:r>
            <w:r>
              <w:rPr>
                <w:rStyle w:val="13"/>
                <w:rFonts w:eastAsia="宋体"/>
                <w:color w:val="auto"/>
                <w:highlight w:val="none"/>
                <w:lang w:val="en-US" w:eastAsia="zh-CN" w:bidi="ar"/>
              </w:rPr>
              <w:t xml:space="preserve"> (20.97, 77.14)</w:t>
            </w:r>
          </w:p>
        </w:tc>
        <w:tc>
          <w:tcPr>
            <w:tcW w:w="1072" w:type="pct"/>
            <w:vAlign w:val="center"/>
          </w:tcPr>
          <w:p w14:paraId="55C7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trike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47.14</w:t>
            </w:r>
            <w:r>
              <w:rPr>
                <w:rStyle w:val="13"/>
                <w:rFonts w:eastAsia="宋体"/>
                <w:color w:val="auto"/>
                <w:highlight w:val="none"/>
                <w:lang w:val="en-US" w:eastAsia="zh-CN" w:bidi="ar"/>
              </w:rPr>
              <w:t xml:space="preserve"> (21.97, 65.89)</w:t>
            </w:r>
          </w:p>
        </w:tc>
        <w:tc>
          <w:tcPr>
            <w:tcW w:w="1072" w:type="pct"/>
            <w:vAlign w:val="center"/>
          </w:tcPr>
          <w:p w14:paraId="72CB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trike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63.65</w:t>
            </w:r>
            <w:r>
              <w:rPr>
                <w:rStyle w:val="13"/>
                <w:rFonts w:eastAsia="宋体"/>
                <w:color w:val="auto"/>
                <w:highlight w:val="none"/>
                <w:lang w:val="en-US" w:eastAsia="zh-CN" w:bidi="ar"/>
              </w:rPr>
              <w:t xml:space="preserve"> (19.53, 86.10)</w:t>
            </w:r>
          </w:p>
        </w:tc>
        <w:tc>
          <w:tcPr>
            <w:tcW w:w="305" w:type="pct"/>
            <w:vAlign w:val="center"/>
          </w:tcPr>
          <w:p w14:paraId="7585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trike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0.194</w:t>
            </w:r>
          </w:p>
        </w:tc>
      </w:tr>
      <w:tr w14:paraId="40D50529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8" w:type="pct"/>
            <w:vAlign w:val="center"/>
          </w:tcPr>
          <w:p w14:paraId="3E058743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ascii="Times New Roman" w:hAnsi="Times New Roman" w:eastAsia="宋体" w:cs="Times New Roman"/>
                <w:strike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Adrenaline</w:t>
            </w:r>
            <w:r>
              <w:rPr>
                <w:rStyle w:val="13"/>
                <w:rFonts w:eastAsia="宋体"/>
                <w:color w:val="auto"/>
                <w:highlight w:val="none"/>
                <w:lang w:val="en-US" w:eastAsia="zh-CN" w:bidi="ar"/>
              </w:rPr>
              <w:t>, mg, median (IQR)</w:t>
            </w:r>
          </w:p>
        </w:tc>
        <w:tc>
          <w:tcPr>
            <w:tcW w:w="1072" w:type="pct"/>
            <w:vAlign w:val="center"/>
          </w:tcPr>
          <w:p w14:paraId="2362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trike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0.02</w:t>
            </w:r>
            <w:r>
              <w:rPr>
                <w:rStyle w:val="13"/>
                <w:rFonts w:eastAsia="宋体"/>
                <w:color w:val="auto"/>
                <w:highlight w:val="none"/>
                <w:lang w:val="en-US" w:eastAsia="zh-CN" w:bidi="ar"/>
              </w:rPr>
              <w:t xml:space="preserve"> (0.00, 0.22)</w:t>
            </w:r>
          </w:p>
        </w:tc>
        <w:tc>
          <w:tcPr>
            <w:tcW w:w="1072" w:type="pct"/>
            <w:vAlign w:val="center"/>
          </w:tcPr>
          <w:p w14:paraId="2E4F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trike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0.02</w:t>
            </w:r>
            <w:r>
              <w:rPr>
                <w:rStyle w:val="13"/>
                <w:rFonts w:eastAsia="宋体"/>
                <w:color w:val="auto"/>
                <w:highlight w:val="none"/>
                <w:lang w:val="en-US" w:eastAsia="zh-CN" w:bidi="ar"/>
              </w:rPr>
              <w:t xml:space="preserve"> (0.00, 0.22)</w:t>
            </w:r>
          </w:p>
        </w:tc>
        <w:tc>
          <w:tcPr>
            <w:tcW w:w="1072" w:type="pct"/>
            <w:vAlign w:val="center"/>
          </w:tcPr>
          <w:p w14:paraId="508B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trike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0.02</w:t>
            </w:r>
            <w:r>
              <w:rPr>
                <w:rStyle w:val="13"/>
                <w:rFonts w:eastAsia="宋体"/>
                <w:color w:val="auto"/>
                <w:highlight w:val="none"/>
                <w:lang w:val="en-US" w:eastAsia="zh-CN" w:bidi="ar"/>
              </w:rPr>
              <w:t xml:space="preserve"> (0.01, 0.25)</w:t>
            </w:r>
          </w:p>
        </w:tc>
        <w:tc>
          <w:tcPr>
            <w:tcW w:w="305" w:type="pct"/>
            <w:vAlign w:val="center"/>
          </w:tcPr>
          <w:p w14:paraId="35FA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trike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0.403</w:t>
            </w:r>
          </w:p>
        </w:tc>
      </w:tr>
      <w:tr w14:paraId="1CD1D26C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8" w:type="pct"/>
            <w:vAlign w:val="center"/>
          </w:tcPr>
          <w:p w14:paraId="69E1138F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ascii="Times New Roman" w:hAnsi="Times New Roman" w:eastAsia="宋体" w:cs="Times New Roman"/>
                <w:strike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Norepinephrine, mg</w:t>
            </w:r>
            <w:r>
              <w:rPr>
                <w:rStyle w:val="13"/>
                <w:rFonts w:eastAsia="宋体"/>
                <w:color w:val="auto"/>
                <w:highlight w:val="none"/>
                <w:lang w:val="en-US" w:eastAsia="zh-CN" w:bidi="ar"/>
              </w:rPr>
              <w:t>, median (IQR)</w:t>
            </w:r>
          </w:p>
        </w:tc>
        <w:tc>
          <w:tcPr>
            <w:tcW w:w="1072" w:type="pct"/>
            <w:vAlign w:val="center"/>
          </w:tcPr>
          <w:p w14:paraId="4DB4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trike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0.00</w:t>
            </w:r>
            <w:r>
              <w:rPr>
                <w:rStyle w:val="13"/>
                <w:rFonts w:eastAsia="宋体"/>
                <w:color w:val="auto"/>
                <w:highlight w:val="none"/>
                <w:lang w:val="en-US" w:eastAsia="zh-CN" w:bidi="ar"/>
              </w:rPr>
              <w:t xml:space="preserve"> (0.00, 0.20)</w:t>
            </w:r>
          </w:p>
        </w:tc>
        <w:tc>
          <w:tcPr>
            <w:tcW w:w="1072" w:type="pct"/>
            <w:vAlign w:val="center"/>
          </w:tcPr>
          <w:p w14:paraId="1951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trike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0.00</w:t>
            </w:r>
            <w:r>
              <w:rPr>
                <w:rStyle w:val="13"/>
                <w:rFonts w:eastAsia="宋体"/>
                <w:color w:val="auto"/>
                <w:highlight w:val="none"/>
                <w:lang w:val="en-US" w:eastAsia="zh-CN" w:bidi="ar"/>
              </w:rPr>
              <w:t xml:space="preserve"> (0.00, 0.21)</w:t>
            </w:r>
          </w:p>
        </w:tc>
        <w:tc>
          <w:tcPr>
            <w:tcW w:w="1072" w:type="pct"/>
            <w:vAlign w:val="center"/>
          </w:tcPr>
          <w:p w14:paraId="6E5B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trike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0.00</w:t>
            </w:r>
            <w:r>
              <w:rPr>
                <w:rStyle w:val="13"/>
                <w:rFonts w:eastAsia="宋体"/>
                <w:color w:val="auto"/>
                <w:highlight w:val="none"/>
                <w:lang w:val="en-US" w:eastAsia="zh-CN" w:bidi="ar"/>
              </w:rPr>
              <w:t xml:space="preserve"> (0.00, 0.12)</w:t>
            </w:r>
          </w:p>
        </w:tc>
        <w:tc>
          <w:tcPr>
            <w:tcW w:w="305" w:type="pct"/>
            <w:vAlign w:val="center"/>
          </w:tcPr>
          <w:p w14:paraId="3753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trike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0.434</w:t>
            </w:r>
          </w:p>
        </w:tc>
      </w:tr>
      <w:tr w14:paraId="26F10F98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8" w:type="pct"/>
            <w:vAlign w:val="center"/>
          </w:tcPr>
          <w:p w14:paraId="7D89D20A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ascii="Times New Roman" w:hAnsi="Times New Roman" w:eastAsia="宋体" w:cs="Times New Roman"/>
                <w:strike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Aramine</w:t>
            </w:r>
            <w:r>
              <w:rPr>
                <w:rStyle w:val="13"/>
                <w:rFonts w:eastAsia="宋体"/>
                <w:color w:val="auto"/>
                <w:highlight w:val="none"/>
                <w:lang w:val="en-US" w:eastAsia="zh-CN" w:bidi="ar"/>
              </w:rPr>
              <w:t>, mg, median (IQR)</w:t>
            </w:r>
          </w:p>
        </w:tc>
        <w:tc>
          <w:tcPr>
            <w:tcW w:w="1072" w:type="pct"/>
            <w:vAlign w:val="center"/>
          </w:tcPr>
          <w:p w14:paraId="5FE1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trike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0.00</w:t>
            </w:r>
            <w:r>
              <w:rPr>
                <w:rStyle w:val="13"/>
                <w:rFonts w:eastAsia="宋体"/>
                <w:color w:val="auto"/>
                <w:highlight w:val="none"/>
                <w:lang w:val="en-US" w:eastAsia="zh-CN" w:bidi="ar"/>
              </w:rPr>
              <w:t xml:space="preserve"> (0.00, 0.30)</w:t>
            </w:r>
          </w:p>
        </w:tc>
        <w:tc>
          <w:tcPr>
            <w:tcW w:w="1072" w:type="pct"/>
            <w:vAlign w:val="center"/>
          </w:tcPr>
          <w:p w14:paraId="0020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trike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0.05</w:t>
            </w:r>
            <w:r>
              <w:rPr>
                <w:rStyle w:val="13"/>
                <w:rFonts w:eastAsia="宋体"/>
                <w:color w:val="auto"/>
                <w:highlight w:val="none"/>
                <w:lang w:val="en-US" w:eastAsia="zh-CN" w:bidi="ar"/>
              </w:rPr>
              <w:t xml:space="preserve"> (0.00, 0.30)</w:t>
            </w:r>
          </w:p>
        </w:tc>
        <w:tc>
          <w:tcPr>
            <w:tcW w:w="1072" w:type="pct"/>
            <w:vAlign w:val="center"/>
          </w:tcPr>
          <w:p w14:paraId="3156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trike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0.00</w:t>
            </w:r>
            <w:r>
              <w:rPr>
                <w:rStyle w:val="13"/>
                <w:rFonts w:eastAsia="宋体"/>
                <w:color w:val="auto"/>
                <w:highlight w:val="none"/>
                <w:lang w:val="en-US" w:eastAsia="zh-CN" w:bidi="ar"/>
              </w:rPr>
              <w:t xml:space="preserve"> (0.00, 0.30)</w:t>
            </w:r>
          </w:p>
        </w:tc>
        <w:tc>
          <w:tcPr>
            <w:tcW w:w="305" w:type="pct"/>
            <w:vAlign w:val="center"/>
          </w:tcPr>
          <w:p w14:paraId="329E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trike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0.152</w:t>
            </w:r>
          </w:p>
        </w:tc>
      </w:tr>
      <w:tr w14:paraId="364E5AA6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78" w:type="pct"/>
            <w:vAlign w:val="center"/>
          </w:tcPr>
          <w:p w14:paraId="152937E6">
            <w:pPr>
              <w:topLinePunct/>
              <w:jc w:val="lef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 xml:space="preserve">Total number of additions of cardiovascularactive drugs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superscript"/>
                <w:lang w:val="en-US" w:eastAsia="zh-CN"/>
              </w:rPr>
              <w:t>a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 xml:space="preserve">, </w:t>
            </w:r>
          </w:p>
          <w:p w14:paraId="7EAAE6B4">
            <w:pPr>
              <w:topLinePunct/>
              <w:jc w:val="lef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time, median (IQR)</w:t>
            </w:r>
          </w:p>
        </w:tc>
        <w:tc>
          <w:tcPr>
            <w:tcW w:w="1072" w:type="pct"/>
            <w:vAlign w:val="center"/>
          </w:tcPr>
          <w:p w14:paraId="2A2867D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72" w:type="pct"/>
            <w:vAlign w:val="center"/>
          </w:tcPr>
          <w:p w14:paraId="05DFFC9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72" w:type="pct"/>
            <w:vAlign w:val="center"/>
          </w:tcPr>
          <w:p w14:paraId="4A85E74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05" w:type="pct"/>
            <w:vAlign w:val="center"/>
          </w:tcPr>
          <w:p w14:paraId="4D17E4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63FCDD50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78" w:type="pct"/>
            <w:vAlign w:val="center"/>
          </w:tcPr>
          <w:p w14:paraId="7A5AAAD9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Positive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Style w:val="14"/>
                <w:rFonts w:eastAsia="宋体"/>
                <w:color w:val="auto"/>
                <w:highlight w:val="none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72" w:type="pct"/>
            <w:vAlign w:val="center"/>
          </w:tcPr>
          <w:p w14:paraId="022BE9E9">
            <w:pPr>
              <w:jc w:val="center"/>
              <w:rPr>
                <w:rFonts w:ascii="Times New Roman" w:hAnsi="Times New Roman" w:cs="Times New Roman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 xml:space="preserve">2 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 xml:space="preserve"> 3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)</w:t>
            </w:r>
          </w:p>
        </w:tc>
        <w:tc>
          <w:tcPr>
            <w:tcW w:w="1072" w:type="pct"/>
            <w:vAlign w:val="center"/>
          </w:tcPr>
          <w:p w14:paraId="66386E42">
            <w:pPr>
              <w:jc w:val="center"/>
              <w:rPr>
                <w:rFonts w:ascii="Times New Roman" w:hAnsi="Times New Roman" w:cs="Times New Roman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 xml:space="preserve">2 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 xml:space="preserve"> 3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)</w:t>
            </w:r>
          </w:p>
        </w:tc>
        <w:tc>
          <w:tcPr>
            <w:tcW w:w="1072" w:type="pct"/>
            <w:vAlign w:val="center"/>
          </w:tcPr>
          <w:p w14:paraId="13FB74D6">
            <w:pPr>
              <w:jc w:val="center"/>
              <w:rPr>
                <w:rFonts w:ascii="Times New Roman" w:hAnsi="Times New Roman" w:cs="Times New Roman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 xml:space="preserve">2 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 xml:space="preserve"> 3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)</w:t>
            </w:r>
          </w:p>
        </w:tc>
        <w:tc>
          <w:tcPr>
            <w:tcW w:w="305" w:type="pct"/>
            <w:vAlign w:val="center"/>
          </w:tcPr>
          <w:p w14:paraId="31F0BF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0.336</w:t>
            </w:r>
          </w:p>
        </w:tc>
      </w:tr>
      <w:tr w14:paraId="09F61150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78" w:type="pct"/>
            <w:vAlign w:val="center"/>
          </w:tcPr>
          <w:p w14:paraId="661B6156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Negative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Style w:val="14"/>
                <w:rFonts w:eastAsia="宋体"/>
                <w:color w:val="auto"/>
                <w:highlight w:val="none"/>
                <w:lang w:val="en-US" w:eastAsia="zh-CN" w:bidi="ar"/>
              </w:rPr>
              <w:t>c</w:t>
            </w:r>
          </w:p>
        </w:tc>
        <w:tc>
          <w:tcPr>
            <w:tcW w:w="1072" w:type="pct"/>
            <w:vAlign w:val="center"/>
          </w:tcPr>
          <w:p w14:paraId="74F43FAE">
            <w:pPr>
              <w:jc w:val="center"/>
              <w:rPr>
                <w:rFonts w:ascii="Times New Roman" w:hAnsi="Times New Roman" w:cs="Times New Roman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 xml:space="preserve">2 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 xml:space="preserve"> 4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)</w:t>
            </w:r>
          </w:p>
        </w:tc>
        <w:tc>
          <w:tcPr>
            <w:tcW w:w="1072" w:type="pct"/>
            <w:vAlign w:val="center"/>
          </w:tcPr>
          <w:p w14:paraId="0207AC35">
            <w:pPr>
              <w:jc w:val="center"/>
              <w:rPr>
                <w:rFonts w:ascii="Times New Roman" w:hAnsi="Times New Roman" w:cs="Times New Roman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 xml:space="preserve">0 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0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 xml:space="preserve"> 1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)</w:t>
            </w:r>
          </w:p>
        </w:tc>
        <w:tc>
          <w:tcPr>
            <w:tcW w:w="1072" w:type="pct"/>
            <w:vAlign w:val="center"/>
          </w:tcPr>
          <w:p w14:paraId="71FEB834">
            <w:pPr>
              <w:jc w:val="center"/>
              <w:rPr>
                <w:rFonts w:ascii="Times New Roman" w:hAnsi="Times New Roman" w:cs="Times New Roman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 xml:space="preserve">0 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0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 xml:space="preserve"> 0</w:t>
            </w:r>
            <w:r>
              <w:rPr>
                <w:rFonts w:ascii="Times New Roman" w:hAnsi="Times New Roman" w:eastAsia="Microsoft JhengHei" w:cs="Times New Roman"/>
                <w:kern w:val="0"/>
                <w:sz w:val="24"/>
                <w:szCs w:val="24"/>
                <w:highlight w:val="none"/>
                <w:lang w:bidi="ar"/>
              </w:rPr>
              <w:t>)</w:t>
            </w:r>
          </w:p>
        </w:tc>
        <w:tc>
          <w:tcPr>
            <w:tcW w:w="305" w:type="pct"/>
            <w:vAlign w:val="center"/>
          </w:tcPr>
          <w:p w14:paraId="678AEBA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0.396</w:t>
            </w:r>
          </w:p>
        </w:tc>
      </w:tr>
      <w:bookmarkEnd w:id="0"/>
      <w:bookmarkEnd w:id="1"/>
    </w:tbl>
    <w:p w14:paraId="00F734DF">
      <w:pPr>
        <w:rPr>
          <w:rFonts w:ascii="Times New Roman" w:hAnsi="Times New Roman" w:cs="Times New Roman"/>
          <w:szCs w:val="21"/>
          <w:highlight w:val="none"/>
        </w:rPr>
      </w:pPr>
      <w:r>
        <w:rPr>
          <w:rFonts w:ascii="Times New Roman" w:hAnsi="Times New Roman" w:cs="Times New Roman"/>
          <w:b/>
          <w:bCs/>
          <w:szCs w:val="21"/>
          <w:highlight w:val="none"/>
        </w:rPr>
        <w:t>Notes:</w:t>
      </w:r>
      <w:r>
        <w:rPr>
          <w:rFonts w:ascii="Times New Roman" w:hAnsi="Times New Roman" w:cs="Times New Roman"/>
          <w:szCs w:val="21"/>
          <w:highlight w:val="none"/>
        </w:rPr>
        <w:t xml:space="preserve"> Data presented as n (%) or median (quartile 1, quartile 3), unless otherwise indicated.</w:t>
      </w:r>
    </w:p>
    <w:p w14:paraId="64FA6DC8">
      <w:pPr>
        <w:rPr>
          <w:rFonts w:ascii="Times New Roman" w:hAnsi="Times New Roman" w:cs="Times New Roman"/>
          <w:szCs w:val="21"/>
          <w:highlight w:val="none"/>
        </w:rPr>
      </w:pPr>
      <w:r>
        <w:rPr>
          <w:rFonts w:hint="eastAsia" w:ascii="Times New Roman" w:hAnsi="Times New Roman" w:eastAsia="宋体" w:cs="Times New Roman"/>
          <w:szCs w:val="21"/>
          <w:highlight w:val="none"/>
          <w:vertAlign w:val="superscript"/>
          <w:lang w:val="en-US" w:eastAsia="zh-CN"/>
        </w:rPr>
        <w:t>a</w:t>
      </w:r>
      <w:r>
        <w:rPr>
          <w:rFonts w:ascii="Times New Roman" w:hAnsi="Times New Roman" w:eastAsia="宋体" w:cs="Times New Roman"/>
          <w:szCs w:val="21"/>
          <w:highlight w:val="none"/>
          <w:vertAlign w:val="superscript"/>
        </w:rPr>
        <w:t xml:space="preserve"> </w:t>
      </w:r>
      <w:r>
        <w:rPr>
          <w:rFonts w:ascii="Times New Roman" w:hAnsi="Times New Roman" w:eastAsia="宋体" w:cs="Times New Roman"/>
          <w:szCs w:val="21"/>
          <w:highlight w:val="none"/>
        </w:rPr>
        <w:t>Total number of additions of cardiovascularactive drugs</w:t>
      </w:r>
      <w:r>
        <w:rPr>
          <w:rFonts w:ascii="Times New Roman" w:hAnsi="Times New Roman" w:eastAsia="宋体" w:cs="Times New Roman"/>
          <w:sz w:val="24"/>
          <w:highlight w:val="none"/>
          <w:vertAlign w:val="superscript"/>
        </w:rPr>
        <w:t xml:space="preserve"> </w:t>
      </w:r>
      <w:r>
        <w:rPr>
          <w:rFonts w:ascii="Times New Roman" w:hAnsi="Times New Roman" w:cs="Times New Roman"/>
          <w:szCs w:val="21"/>
          <w:highlight w:val="none"/>
        </w:rPr>
        <w:t xml:space="preserve">indicates the total number of single additions of cardiovascular active drugs during non-cardiopulmonary bypass. </w:t>
      </w:r>
    </w:p>
    <w:p w14:paraId="547C79A3">
      <w:pPr>
        <w:rPr>
          <w:rFonts w:ascii="Times New Roman" w:hAnsi="Times New Roman" w:cs="Times New Roman"/>
          <w:szCs w:val="21"/>
          <w:highlight w:val="none"/>
        </w:rPr>
      </w:pPr>
      <w:r>
        <w:rPr>
          <w:rFonts w:hint="eastAsia" w:ascii="Times New Roman" w:hAnsi="Times New Roman" w:cs="Times New Roman"/>
          <w:szCs w:val="21"/>
          <w:highlight w:val="none"/>
          <w:vertAlign w:val="superscript"/>
          <w:lang w:val="en-US" w:eastAsia="zh-CN"/>
        </w:rPr>
        <w:t>b</w:t>
      </w:r>
      <w:r>
        <w:rPr>
          <w:rFonts w:ascii="Times New Roman" w:hAnsi="Times New Roman" w:cs="Times New Roman"/>
          <w:szCs w:val="21"/>
          <w:highlight w:val="none"/>
          <w:vertAlign w:val="superscript"/>
        </w:rPr>
        <w:t xml:space="preserve"> </w:t>
      </w:r>
      <w:r>
        <w:rPr>
          <w:rFonts w:ascii="Times New Roman" w:hAnsi="Times New Roman" w:cs="Times New Roman"/>
          <w:szCs w:val="21"/>
          <w:highlight w:val="none"/>
        </w:rPr>
        <w:t>Positive cardiovascularactive drugs indicate Atropine, Ephedrine, Aramine, Isprenaline and Adrenaline.</w:t>
      </w:r>
    </w:p>
    <w:p w14:paraId="148895E9">
      <w:pPr>
        <w:rPr>
          <w:rFonts w:ascii="Times New Roman" w:hAnsi="Times New Roman" w:cs="Times New Roman"/>
          <w:szCs w:val="21"/>
          <w:highlight w:val="none"/>
        </w:rPr>
      </w:pPr>
      <w:r>
        <w:rPr>
          <w:rFonts w:hint="eastAsia" w:ascii="Times New Roman" w:hAnsi="Times New Roman" w:cs="Times New Roman"/>
          <w:szCs w:val="21"/>
          <w:highlight w:val="none"/>
          <w:vertAlign w:val="superscript"/>
          <w:lang w:val="en-US" w:eastAsia="zh-CN"/>
        </w:rPr>
        <w:t>c</w:t>
      </w:r>
      <w:r>
        <w:rPr>
          <w:rFonts w:ascii="Times New Roman" w:hAnsi="Times New Roman" w:cs="Times New Roman"/>
          <w:szCs w:val="21"/>
          <w:highlight w:val="none"/>
          <w:vertAlign w:val="superscript"/>
        </w:rPr>
        <w:t xml:space="preserve"> </w:t>
      </w:r>
      <w:r>
        <w:rPr>
          <w:rFonts w:ascii="Times New Roman" w:hAnsi="Times New Roman" w:cs="Times New Roman"/>
          <w:szCs w:val="21"/>
          <w:highlight w:val="none"/>
        </w:rPr>
        <w:t>Negative cardiovascularactive drug indicates Esmolol.</w:t>
      </w:r>
    </w:p>
    <w:p w14:paraId="278A5461">
      <w:pPr>
        <w:rPr>
          <w:rFonts w:ascii="Times New Roman" w:hAnsi="Times New Roman" w:cs="Times New Roman"/>
          <w:szCs w:val="21"/>
          <w:highlight w:val="none"/>
        </w:rPr>
      </w:pPr>
      <w:r>
        <w:rPr>
          <w:rFonts w:ascii="Times New Roman" w:hAnsi="Times New Roman" w:cs="Times New Roman"/>
          <w:b/>
          <w:bCs/>
          <w:szCs w:val="21"/>
          <w:highlight w:val="none"/>
        </w:rPr>
        <w:t xml:space="preserve">Abbreviations: </w:t>
      </w:r>
      <w:r>
        <w:rPr>
          <w:rFonts w:ascii="Times New Roman" w:hAnsi="Times New Roman" w:cs="Times New Roman"/>
          <w:szCs w:val="21"/>
          <w:highlight w:val="none"/>
        </w:rPr>
        <w:t>CABG,</w:t>
      </w:r>
      <w:r>
        <w:rPr>
          <w:rFonts w:ascii="Times New Roman" w:hAnsi="Times New Roman" w:cs="Times New Roman"/>
          <w:highlight w:val="none"/>
        </w:rPr>
        <w:t xml:space="preserve"> </w:t>
      </w:r>
      <w:r>
        <w:rPr>
          <w:rFonts w:ascii="Times New Roman" w:hAnsi="Times New Roman" w:cs="Times New Roman"/>
          <w:szCs w:val="21"/>
          <w:highlight w:val="none"/>
        </w:rPr>
        <w:t>Coronary artery bypass graft surgery;</w:t>
      </w:r>
      <w:r>
        <w:rPr>
          <w:rFonts w:ascii="Times New Roman" w:hAnsi="Times New Roman" w:eastAsia="宋体" w:cs="Times New Roman"/>
          <w:kern w:val="0"/>
          <w:szCs w:val="21"/>
          <w:highlight w:val="none"/>
          <w:lang w:bidi="ar"/>
        </w:rPr>
        <w:t xml:space="preserve"> CPB,</w:t>
      </w:r>
      <w:r>
        <w:rPr>
          <w:rFonts w:ascii="Times New Roman" w:hAnsi="Times New Roman" w:cs="Times New Roman"/>
          <w:szCs w:val="21"/>
          <w:highlight w:val="none"/>
        </w:rPr>
        <w:t xml:space="preserve"> Cardiopulmonary bypass</w:t>
      </w:r>
      <w:r>
        <w:rPr>
          <w:rFonts w:ascii="Times New Roman" w:hAnsi="Times New Roman" w:eastAsia="宋体" w:cs="Times New Roman"/>
          <w:kern w:val="0"/>
          <w:szCs w:val="21"/>
          <w:highlight w:val="none"/>
          <w:lang w:bidi="ar"/>
        </w:rPr>
        <w:t>; IQR</w:t>
      </w:r>
      <w:r>
        <w:rPr>
          <w:rFonts w:ascii="Times New Roman" w:hAnsi="Times New Roman" w:cs="Times New Roman"/>
          <w:szCs w:val="21"/>
          <w:highlight w:val="none"/>
        </w:rPr>
        <w:t>,</w:t>
      </w:r>
      <w:r>
        <w:rPr>
          <w:rFonts w:ascii="Times New Roman" w:hAnsi="Times New Roman" w:cs="Times New Roman"/>
          <w:highlight w:val="none"/>
        </w:rPr>
        <w:t xml:space="preserve"> </w:t>
      </w:r>
      <w:r>
        <w:rPr>
          <w:rFonts w:ascii="Times New Roman" w:hAnsi="Times New Roman" w:cs="Times New Roman"/>
          <w:szCs w:val="21"/>
          <w:highlight w:val="none"/>
        </w:rPr>
        <w:t>Inter quartile range; COPD, Chronic Obstructive Pulmonary Disease.</w:t>
      </w:r>
    </w:p>
    <w:p w14:paraId="42004B07">
      <w:pPr>
        <w:rPr>
          <w:rFonts w:ascii="Times New Roman" w:hAnsi="Times New Roman" w:cs="Times New Roman"/>
          <w:szCs w:val="21"/>
          <w:highlight w:val="none"/>
        </w:rPr>
      </w:pPr>
      <w:r>
        <w:rPr>
          <w:rFonts w:ascii="Times New Roman" w:hAnsi="Times New Roman" w:cs="Times New Roman"/>
          <w:szCs w:val="21"/>
          <w:highlight w:val="none"/>
        </w:rPr>
        <w:br w:type="page"/>
      </w:r>
    </w:p>
    <w:p w14:paraId="0E1ED07F">
      <w:pPr>
        <w:jc w:val="left"/>
        <w:rPr>
          <w:rFonts w:ascii="Times New Roman" w:hAnsi="Times New Roman" w:cs="Times New Roman"/>
          <w:b/>
          <w:bCs/>
          <w:highlight w:val="none"/>
        </w:rPr>
      </w:pPr>
      <w:r>
        <w:rPr>
          <w:rFonts w:hint="eastAsia" w:ascii="Times New Roman" w:hAnsi="Times New Roman" w:cs="Times New Roman"/>
          <w:b/>
          <w:bCs/>
          <w:sz w:val="22"/>
          <w:szCs w:val="28"/>
          <w:highlight w:val="none"/>
        </w:rPr>
        <w:t xml:space="preserve">Supplementary </w:t>
      </w:r>
      <w:r>
        <w:rPr>
          <w:rFonts w:ascii="Times New Roman" w:hAnsi="Times New Roman" w:cs="Times New Roman"/>
          <w:b/>
          <w:bCs/>
          <w:highlight w:val="none"/>
        </w:rPr>
        <w:t xml:space="preserve">Figure </w:t>
      </w: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>S1</w:t>
      </w:r>
      <w:r>
        <w:rPr>
          <w:rFonts w:ascii="Times New Roman" w:hAnsi="Times New Roman" w:cs="Times New Roman"/>
          <w:b/>
          <w:bCs/>
          <w:highlight w:val="none"/>
        </w:rPr>
        <w:t xml:space="preserve">. </w:t>
      </w:r>
      <w:r>
        <w:rPr>
          <w:rFonts w:hint="eastAsia" w:ascii="Times New Roman" w:hAnsi="Times New Roman" w:cs="Times New Roman"/>
          <w:b/>
          <w:bCs/>
          <w:highlight w:val="none"/>
        </w:rPr>
        <w:t>The intraoperative sedative anesthesia induction and maintenance regimens for the two groups of patients.</w:t>
      </w:r>
    </w:p>
    <w:p w14:paraId="7BDC9A68">
      <w:pPr>
        <w:jc w:val="left"/>
        <w:rPr>
          <w:rFonts w:hint="eastAsia" w:ascii="Times New Roman" w:hAnsi="Times New Roman" w:eastAsiaTheme="minorEastAsia"/>
          <w:szCs w:val="21"/>
          <w:highlight w:val="none"/>
          <w:lang w:eastAsia="zh-CN"/>
        </w:rPr>
      </w:pPr>
    </w:p>
    <w:p w14:paraId="457CAEBA">
      <w:pPr>
        <w:jc w:val="left"/>
        <w:rPr>
          <w:rFonts w:hint="eastAsia" w:ascii="Times New Roman" w:hAnsi="Times New Roman" w:eastAsiaTheme="minorEastAsia"/>
          <w:szCs w:val="21"/>
          <w:highlight w:val="none"/>
          <w:lang w:eastAsia="zh-CN"/>
        </w:rPr>
      </w:pPr>
      <w:r>
        <w:rPr>
          <w:rFonts w:hint="eastAsia" w:ascii="Times New Roman" w:hAnsi="Times New Roman" w:eastAsiaTheme="minorEastAsia"/>
          <w:szCs w:val="21"/>
          <w:highlight w:val="none"/>
          <w:lang w:eastAsia="zh-CN"/>
        </w:rPr>
        <w:drawing>
          <wp:inline distT="0" distB="0" distL="114300" distR="114300">
            <wp:extent cx="8486140" cy="2800985"/>
            <wp:effectExtent l="0" t="0" r="2540" b="3175"/>
            <wp:docPr id="2" name="图片 2" descr="绘图2 - 副本(2) -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绘图2 - 副本(2) - 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86140" cy="280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805F4">
      <w:pPr>
        <w:jc w:val="left"/>
        <w:rPr>
          <w:rFonts w:hint="eastAsia" w:ascii="Times New Roman" w:hAnsi="Times New Roman"/>
          <w:szCs w:val="21"/>
          <w:highlight w:val="none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Cs w:val="21"/>
          <w:highlight w:val="none"/>
        </w:rPr>
        <w:t>Abbreviations:</w:t>
      </w:r>
      <w:r>
        <w:rPr>
          <w:rFonts w:hint="eastAsia" w:ascii="Times New Roman" w:hAnsi="Times New Roman"/>
          <w:b/>
          <w:bCs/>
          <w:szCs w:val="21"/>
          <w:highlight w:val="none"/>
        </w:rPr>
        <w:t xml:space="preserve"> </w:t>
      </w:r>
      <w:r>
        <w:rPr>
          <w:rFonts w:hint="eastAsia" w:ascii="Times New Roman" w:hAnsi="Times New Roman"/>
          <w:szCs w:val="21"/>
          <w:highlight w:val="none"/>
        </w:rPr>
        <w:t>CPB, Cardiopulmonary bypass</w:t>
      </w:r>
      <w:r>
        <w:rPr>
          <w:rFonts w:hint="eastAsia" w:ascii="Times New Roman" w:hAnsi="Times New Roman"/>
          <w:szCs w:val="21"/>
          <w:highlight w:val="none"/>
          <w:lang w:val="en-US" w:eastAsia="zh-CN"/>
        </w:rPr>
        <w:t>.</w:t>
      </w:r>
    </w:p>
    <w:p w14:paraId="4D0B74C0">
      <w:pPr>
        <w:rPr>
          <w:rFonts w:hint="eastAsia" w:ascii="Times New Roman" w:hAnsi="Times New Roman"/>
          <w:szCs w:val="21"/>
          <w:highlight w:val="none"/>
          <w:lang w:val="en-US" w:eastAsia="zh-CN"/>
        </w:rPr>
      </w:pPr>
      <w:r>
        <w:rPr>
          <w:rFonts w:hint="eastAsia" w:ascii="Times New Roman" w:hAnsi="Times New Roman"/>
          <w:szCs w:val="21"/>
          <w:highlight w:val="none"/>
          <w:lang w:val="en-US" w:eastAsia="zh-CN"/>
        </w:rPr>
        <w:br w:type="page"/>
      </w:r>
    </w:p>
    <w:p w14:paraId="53B5F036">
      <w:pPr>
        <w:jc w:val="left"/>
        <w:rPr>
          <w:rFonts w:ascii="Times New Roman" w:hAnsi="Times New Roman" w:cs="Times New Roman"/>
          <w:b/>
          <w:bCs/>
          <w:highlight w:val="none"/>
        </w:rPr>
      </w:pPr>
      <w:r>
        <w:rPr>
          <w:rFonts w:hint="eastAsia" w:ascii="Times New Roman" w:hAnsi="Times New Roman" w:cs="Times New Roman"/>
          <w:b/>
          <w:bCs/>
          <w:sz w:val="22"/>
          <w:szCs w:val="28"/>
          <w:highlight w:val="none"/>
        </w:rPr>
        <w:t xml:space="preserve">Supplementary </w:t>
      </w:r>
      <w:r>
        <w:rPr>
          <w:rFonts w:ascii="Times New Roman" w:hAnsi="Times New Roman" w:cs="Times New Roman"/>
          <w:b/>
          <w:bCs/>
          <w:highlight w:val="none"/>
        </w:rPr>
        <w:t xml:space="preserve">Figure </w:t>
      </w: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>S2</w:t>
      </w:r>
      <w:r>
        <w:rPr>
          <w:rFonts w:ascii="Times New Roman" w:hAnsi="Times New Roman" w:cs="Times New Roman"/>
          <w:b/>
          <w:bCs/>
          <w:highlight w:val="none"/>
        </w:rPr>
        <w:t xml:space="preserve">. </w:t>
      </w:r>
      <w:r>
        <w:rPr>
          <w:rFonts w:hint="eastAsia" w:ascii="Times New Roman" w:hAnsi="Times New Roman" w:cs="Times New Roman"/>
          <w:b/>
          <w:bCs/>
          <w:highlight w:val="none"/>
        </w:rPr>
        <w:t>The occurrence of POD, relative risk and P-value for interaction in different subgroups.</w:t>
      </w:r>
    </w:p>
    <w:p w14:paraId="0EAFB716">
      <w:pPr>
        <w:jc w:val="center"/>
        <w:rPr>
          <w:rFonts w:ascii="Times New Roman" w:hAnsi="Times New Roman" w:cs="Times New Roman"/>
          <w:b/>
          <w:bCs/>
          <w:highlight w:val="none"/>
        </w:rPr>
      </w:pPr>
    </w:p>
    <w:p w14:paraId="0E723E98">
      <w:pPr>
        <w:jc w:val="center"/>
        <w:rPr>
          <w:rFonts w:hint="eastAsia" w:ascii="Times New Roman" w:hAnsi="Times New Roman" w:cs="Times New Roman" w:eastAsiaTheme="minorEastAsia"/>
          <w:szCs w:val="21"/>
          <w:highlight w:val="none"/>
          <w:lang w:eastAsia="zh-CN"/>
        </w:rPr>
      </w:pPr>
      <w:bookmarkStart w:id="3" w:name="_GoBack"/>
      <w:r>
        <w:rPr>
          <w:rFonts w:hint="eastAsia" w:ascii="Times New Roman" w:hAnsi="Times New Roman" w:cs="Times New Roman" w:eastAsiaTheme="minorEastAsia"/>
          <w:szCs w:val="21"/>
          <w:highlight w:val="none"/>
          <w:lang w:eastAsia="zh-CN"/>
        </w:rPr>
        <w:drawing>
          <wp:inline distT="0" distB="0" distL="114300" distR="114300">
            <wp:extent cx="5881370" cy="4507865"/>
            <wp:effectExtent l="0" t="0" r="5080" b="6985"/>
            <wp:docPr id="1" name="图片 1" descr="c8d981c5e7bc5c600df124ba14fb4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8d981c5e7bc5c600df124ba14fb4c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1370" cy="450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p w14:paraId="68160572">
      <w:pPr>
        <w:jc w:val="left"/>
        <w:rPr>
          <w:rFonts w:hint="eastAsia" w:ascii="Times New Roman" w:hAnsi="Times New Roman"/>
          <w:szCs w:val="21"/>
          <w:highlight w:val="none"/>
        </w:rPr>
      </w:pPr>
      <w:r>
        <w:rPr>
          <w:rFonts w:hint="eastAsia" w:ascii="Times New Roman" w:hAnsi="Times New Roman"/>
          <w:b w:val="0"/>
          <w:bCs w:val="0"/>
          <w:szCs w:val="21"/>
          <w:highlight w:val="none"/>
        </w:rPr>
        <w:t xml:space="preserve">Abbreviations: </w:t>
      </w:r>
      <w:r>
        <w:rPr>
          <w:rFonts w:hint="eastAsia" w:ascii="Times New Roman" w:hAnsi="Times New Roman"/>
          <w:szCs w:val="21"/>
          <w:highlight w:val="none"/>
        </w:rPr>
        <w:t>POD, Postoperative delirium; ASA, American society anesthesiologists; NYHA, New York Heart Association Classi</w:t>
      </w:r>
      <w:r>
        <w:rPr>
          <w:rFonts w:ascii="Times New Roman" w:hAnsi="Times New Roman" w:cs="Times New Roman"/>
          <w:szCs w:val="21"/>
          <w:highlight w:val="none"/>
        </w:rPr>
        <w:t>ﬁ</w:t>
      </w:r>
      <w:r>
        <w:rPr>
          <w:rFonts w:hint="eastAsia" w:ascii="Times New Roman" w:hAnsi="Times New Roman"/>
          <w:szCs w:val="21"/>
          <w:highlight w:val="none"/>
        </w:rPr>
        <w:t xml:space="preserve">cation; CABG, coronary artery bypass grafting; CPB, Cardiopulmonary bypass; CI, </w:t>
      </w:r>
      <w:r>
        <w:rPr>
          <w:rFonts w:hint="eastAsia" w:ascii="Times New Roman" w:hAnsi="Times New Roman"/>
          <w:szCs w:val="21"/>
          <w:highlight w:val="none"/>
          <w:lang w:val="en-US" w:eastAsia="zh-CN"/>
        </w:rPr>
        <w:t>C</w:t>
      </w:r>
      <w:r>
        <w:rPr>
          <w:rFonts w:hint="eastAsia" w:ascii="Times New Roman" w:hAnsi="Times New Roman"/>
          <w:szCs w:val="21"/>
          <w:highlight w:val="none"/>
        </w:rPr>
        <w:t xml:space="preserve">ofident interval; </w:t>
      </w:r>
      <w:r>
        <w:rPr>
          <w:rFonts w:hint="eastAsia" w:ascii="Times New Roman" w:hAnsi="Times New Roman"/>
          <w:i/>
          <w:iCs/>
          <w:szCs w:val="21"/>
          <w:highlight w:val="none"/>
        </w:rPr>
        <w:t>P</w:t>
      </w:r>
      <w:r>
        <w:rPr>
          <w:rFonts w:hint="eastAsia" w:ascii="Times New Roman" w:hAnsi="Times New Roman"/>
          <w:szCs w:val="21"/>
          <w:highlight w:val="none"/>
        </w:rPr>
        <w:t xml:space="preserve">, </w:t>
      </w:r>
      <w:r>
        <w:rPr>
          <w:rFonts w:hint="eastAsia" w:ascii="Times New Roman" w:hAnsi="Times New Roman"/>
          <w:b w:val="0"/>
          <w:bCs w:val="0"/>
          <w:i w:val="0"/>
          <w:iCs w:val="0"/>
          <w:szCs w:val="21"/>
          <w:highlight w:val="none"/>
          <w:lang w:val="en-US" w:eastAsia="zh-CN"/>
        </w:rPr>
        <w:t>P</w:t>
      </w:r>
      <w:r>
        <w:rPr>
          <w:rFonts w:hint="eastAsia" w:ascii="Times New Roman" w:hAnsi="Times New Roman"/>
          <w:szCs w:val="21"/>
          <w:highlight w:val="none"/>
        </w:rPr>
        <w:t>-value.</w:t>
      </w:r>
    </w:p>
    <w:p w14:paraId="0660593A">
      <w:pPr>
        <w:jc w:val="left"/>
        <w:rPr>
          <w:rFonts w:hint="eastAsia" w:ascii="Times New Roman" w:hAnsi="Times New Roman"/>
          <w:szCs w:val="21"/>
          <w:highlight w:val="none"/>
          <w:lang w:val="en-US" w:eastAsia="zh-CN"/>
        </w:rPr>
      </w:pPr>
    </w:p>
    <w:sectPr>
      <w:footerReference r:id="rId3" w:type="default"/>
      <w:pgSz w:w="16838" w:h="11906" w:orient="landscape"/>
      <w:pgMar w:top="1797" w:right="1440" w:bottom="1797" w:left="144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3985816"/>
      <w:docPartObj>
        <w:docPartGallery w:val="autotext"/>
      </w:docPartObj>
    </w:sdtPr>
    <w:sdtContent>
      <w:p w14:paraId="282C5398"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EBB95C3">
    <w:pPr>
      <w:pStyle w:val="2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F33E98"/>
    <w:multiLevelType w:val="multilevel"/>
    <w:tmpl w:val="15F33E98"/>
    <w:lvl w:ilvl="0" w:tentative="0">
      <w:start w:val="1"/>
      <w:numFmt w:val="bullet"/>
      <w:lvlText w:val="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A4C"/>
    <w:rsid w:val="000051C9"/>
    <w:rsid w:val="0000530C"/>
    <w:rsid w:val="000125B0"/>
    <w:rsid w:val="0001462B"/>
    <w:rsid w:val="0003482B"/>
    <w:rsid w:val="00043BA1"/>
    <w:rsid w:val="00047DE6"/>
    <w:rsid w:val="00063AB4"/>
    <w:rsid w:val="00067385"/>
    <w:rsid w:val="00070CA2"/>
    <w:rsid w:val="00087148"/>
    <w:rsid w:val="000912F6"/>
    <w:rsid w:val="000966D1"/>
    <w:rsid w:val="000A05CF"/>
    <w:rsid w:val="000A20DB"/>
    <w:rsid w:val="000B0A9F"/>
    <w:rsid w:val="000C66F0"/>
    <w:rsid w:val="000D0DB0"/>
    <w:rsid w:val="000E3EAC"/>
    <w:rsid w:val="000E5196"/>
    <w:rsid w:val="00110404"/>
    <w:rsid w:val="00113032"/>
    <w:rsid w:val="00115DC2"/>
    <w:rsid w:val="0013471A"/>
    <w:rsid w:val="00151360"/>
    <w:rsid w:val="00166C3E"/>
    <w:rsid w:val="00170769"/>
    <w:rsid w:val="0018236A"/>
    <w:rsid w:val="001A51DE"/>
    <w:rsid w:val="001B136D"/>
    <w:rsid w:val="001B2496"/>
    <w:rsid w:val="001B49AC"/>
    <w:rsid w:val="001B4A89"/>
    <w:rsid w:val="001B796A"/>
    <w:rsid w:val="001D0F25"/>
    <w:rsid w:val="001D5691"/>
    <w:rsid w:val="001F0CFE"/>
    <w:rsid w:val="001F4CD1"/>
    <w:rsid w:val="0020419C"/>
    <w:rsid w:val="0021223F"/>
    <w:rsid w:val="0022026D"/>
    <w:rsid w:val="0024627F"/>
    <w:rsid w:val="00246C4D"/>
    <w:rsid w:val="00253355"/>
    <w:rsid w:val="002655DE"/>
    <w:rsid w:val="002801DA"/>
    <w:rsid w:val="002A0A65"/>
    <w:rsid w:val="002A10E4"/>
    <w:rsid w:val="002B5349"/>
    <w:rsid w:val="002B76CB"/>
    <w:rsid w:val="002C6595"/>
    <w:rsid w:val="002E5870"/>
    <w:rsid w:val="002E6D8B"/>
    <w:rsid w:val="002F20B8"/>
    <w:rsid w:val="00313A7B"/>
    <w:rsid w:val="00314DF4"/>
    <w:rsid w:val="003151BC"/>
    <w:rsid w:val="00325173"/>
    <w:rsid w:val="00330B9F"/>
    <w:rsid w:val="003458BB"/>
    <w:rsid w:val="00355D8A"/>
    <w:rsid w:val="00356151"/>
    <w:rsid w:val="0036281C"/>
    <w:rsid w:val="00363D7B"/>
    <w:rsid w:val="003640A5"/>
    <w:rsid w:val="00376937"/>
    <w:rsid w:val="00377872"/>
    <w:rsid w:val="00381AB4"/>
    <w:rsid w:val="003A0DE6"/>
    <w:rsid w:val="003A56C0"/>
    <w:rsid w:val="003B4AB6"/>
    <w:rsid w:val="003B6848"/>
    <w:rsid w:val="003C498E"/>
    <w:rsid w:val="003D52F3"/>
    <w:rsid w:val="003F685B"/>
    <w:rsid w:val="004042BD"/>
    <w:rsid w:val="00407640"/>
    <w:rsid w:val="00407D00"/>
    <w:rsid w:val="00415CB2"/>
    <w:rsid w:val="00417199"/>
    <w:rsid w:val="004239CD"/>
    <w:rsid w:val="004350BB"/>
    <w:rsid w:val="00437BFF"/>
    <w:rsid w:val="004417C3"/>
    <w:rsid w:val="004609E9"/>
    <w:rsid w:val="00470A4F"/>
    <w:rsid w:val="00473783"/>
    <w:rsid w:val="004841A8"/>
    <w:rsid w:val="004A0C89"/>
    <w:rsid w:val="004B4AD9"/>
    <w:rsid w:val="004B62F4"/>
    <w:rsid w:val="004C100A"/>
    <w:rsid w:val="004D2537"/>
    <w:rsid w:val="004D6C5C"/>
    <w:rsid w:val="004E5E60"/>
    <w:rsid w:val="004F597E"/>
    <w:rsid w:val="0050076B"/>
    <w:rsid w:val="00520D8E"/>
    <w:rsid w:val="005221DF"/>
    <w:rsid w:val="005324B2"/>
    <w:rsid w:val="005336F8"/>
    <w:rsid w:val="005617B4"/>
    <w:rsid w:val="005726F9"/>
    <w:rsid w:val="00577492"/>
    <w:rsid w:val="00577B1E"/>
    <w:rsid w:val="00583CF7"/>
    <w:rsid w:val="005878F0"/>
    <w:rsid w:val="005C2AAF"/>
    <w:rsid w:val="005C3839"/>
    <w:rsid w:val="005C7931"/>
    <w:rsid w:val="005D0055"/>
    <w:rsid w:val="005D6534"/>
    <w:rsid w:val="005E1337"/>
    <w:rsid w:val="005E2EA2"/>
    <w:rsid w:val="005E5997"/>
    <w:rsid w:val="005F2333"/>
    <w:rsid w:val="005F53E4"/>
    <w:rsid w:val="00604F98"/>
    <w:rsid w:val="00617907"/>
    <w:rsid w:val="00624B60"/>
    <w:rsid w:val="00654671"/>
    <w:rsid w:val="00687B99"/>
    <w:rsid w:val="00694651"/>
    <w:rsid w:val="006B1374"/>
    <w:rsid w:val="006C0B61"/>
    <w:rsid w:val="006C496A"/>
    <w:rsid w:val="006C4D67"/>
    <w:rsid w:val="006D238D"/>
    <w:rsid w:val="006F40FC"/>
    <w:rsid w:val="006F7CBD"/>
    <w:rsid w:val="00701CE5"/>
    <w:rsid w:val="00710F6D"/>
    <w:rsid w:val="0073653B"/>
    <w:rsid w:val="007643E0"/>
    <w:rsid w:val="007761AA"/>
    <w:rsid w:val="00787D51"/>
    <w:rsid w:val="007B74D1"/>
    <w:rsid w:val="007C4D5C"/>
    <w:rsid w:val="007C516B"/>
    <w:rsid w:val="007C5BD3"/>
    <w:rsid w:val="007D54DC"/>
    <w:rsid w:val="007D795D"/>
    <w:rsid w:val="007E1518"/>
    <w:rsid w:val="007E5C6F"/>
    <w:rsid w:val="00803A54"/>
    <w:rsid w:val="00815C46"/>
    <w:rsid w:val="00817B81"/>
    <w:rsid w:val="0084495A"/>
    <w:rsid w:val="008453F9"/>
    <w:rsid w:val="0084578C"/>
    <w:rsid w:val="00850A87"/>
    <w:rsid w:val="008631AC"/>
    <w:rsid w:val="00871986"/>
    <w:rsid w:val="0088305C"/>
    <w:rsid w:val="00885CAB"/>
    <w:rsid w:val="00885F6F"/>
    <w:rsid w:val="00890BF2"/>
    <w:rsid w:val="008C24AF"/>
    <w:rsid w:val="008C637D"/>
    <w:rsid w:val="008D5F8D"/>
    <w:rsid w:val="008D61BE"/>
    <w:rsid w:val="008F0458"/>
    <w:rsid w:val="00905F74"/>
    <w:rsid w:val="00913F26"/>
    <w:rsid w:val="0092732D"/>
    <w:rsid w:val="009357A6"/>
    <w:rsid w:val="009423AF"/>
    <w:rsid w:val="00945976"/>
    <w:rsid w:val="009529C0"/>
    <w:rsid w:val="009548F3"/>
    <w:rsid w:val="00956598"/>
    <w:rsid w:val="00957BC3"/>
    <w:rsid w:val="0096005D"/>
    <w:rsid w:val="009652C0"/>
    <w:rsid w:val="00973681"/>
    <w:rsid w:val="00976068"/>
    <w:rsid w:val="009817EB"/>
    <w:rsid w:val="00993DA6"/>
    <w:rsid w:val="009A0C21"/>
    <w:rsid w:val="009A484C"/>
    <w:rsid w:val="009A6AB1"/>
    <w:rsid w:val="009C030E"/>
    <w:rsid w:val="009D1101"/>
    <w:rsid w:val="009E5877"/>
    <w:rsid w:val="009F327D"/>
    <w:rsid w:val="009F6817"/>
    <w:rsid w:val="00A03AAB"/>
    <w:rsid w:val="00A06CFA"/>
    <w:rsid w:val="00A279B2"/>
    <w:rsid w:val="00A30420"/>
    <w:rsid w:val="00A33676"/>
    <w:rsid w:val="00A37B2F"/>
    <w:rsid w:val="00A46412"/>
    <w:rsid w:val="00A545E7"/>
    <w:rsid w:val="00A723E7"/>
    <w:rsid w:val="00A9038B"/>
    <w:rsid w:val="00A929E4"/>
    <w:rsid w:val="00A94FEC"/>
    <w:rsid w:val="00A96CA6"/>
    <w:rsid w:val="00AA584D"/>
    <w:rsid w:val="00AB0352"/>
    <w:rsid w:val="00AC3639"/>
    <w:rsid w:val="00AE5221"/>
    <w:rsid w:val="00AE71B2"/>
    <w:rsid w:val="00AF1196"/>
    <w:rsid w:val="00B151EF"/>
    <w:rsid w:val="00B15254"/>
    <w:rsid w:val="00B41F86"/>
    <w:rsid w:val="00B46487"/>
    <w:rsid w:val="00B61687"/>
    <w:rsid w:val="00B70ABB"/>
    <w:rsid w:val="00B74994"/>
    <w:rsid w:val="00B74FD2"/>
    <w:rsid w:val="00B75B2F"/>
    <w:rsid w:val="00BA4815"/>
    <w:rsid w:val="00BB0975"/>
    <w:rsid w:val="00BB52CA"/>
    <w:rsid w:val="00BD1A4C"/>
    <w:rsid w:val="00BD3AD1"/>
    <w:rsid w:val="00BD4A99"/>
    <w:rsid w:val="00BD618D"/>
    <w:rsid w:val="00BE6A1B"/>
    <w:rsid w:val="00BF0978"/>
    <w:rsid w:val="00C0470B"/>
    <w:rsid w:val="00C2360E"/>
    <w:rsid w:val="00C50E22"/>
    <w:rsid w:val="00C50F6D"/>
    <w:rsid w:val="00C56CD1"/>
    <w:rsid w:val="00C757A4"/>
    <w:rsid w:val="00C809DE"/>
    <w:rsid w:val="00C87436"/>
    <w:rsid w:val="00C90E9F"/>
    <w:rsid w:val="00CA7072"/>
    <w:rsid w:val="00CB23EF"/>
    <w:rsid w:val="00CB2E68"/>
    <w:rsid w:val="00CB74C6"/>
    <w:rsid w:val="00CD3A92"/>
    <w:rsid w:val="00CD4A86"/>
    <w:rsid w:val="00CE11D6"/>
    <w:rsid w:val="00CE1546"/>
    <w:rsid w:val="00CF0F2D"/>
    <w:rsid w:val="00CF106C"/>
    <w:rsid w:val="00CF43B5"/>
    <w:rsid w:val="00D015FA"/>
    <w:rsid w:val="00D01F5F"/>
    <w:rsid w:val="00D02CB5"/>
    <w:rsid w:val="00D13185"/>
    <w:rsid w:val="00D34B6F"/>
    <w:rsid w:val="00D376BB"/>
    <w:rsid w:val="00D4288C"/>
    <w:rsid w:val="00D53E55"/>
    <w:rsid w:val="00D55A21"/>
    <w:rsid w:val="00D756ED"/>
    <w:rsid w:val="00DA4A5A"/>
    <w:rsid w:val="00DE7874"/>
    <w:rsid w:val="00DF178E"/>
    <w:rsid w:val="00DF2432"/>
    <w:rsid w:val="00DF7F1F"/>
    <w:rsid w:val="00E37C20"/>
    <w:rsid w:val="00E42302"/>
    <w:rsid w:val="00E4449D"/>
    <w:rsid w:val="00E446DE"/>
    <w:rsid w:val="00E627C7"/>
    <w:rsid w:val="00E72161"/>
    <w:rsid w:val="00E72839"/>
    <w:rsid w:val="00E90938"/>
    <w:rsid w:val="00E93764"/>
    <w:rsid w:val="00E93D82"/>
    <w:rsid w:val="00E94203"/>
    <w:rsid w:val="00E97190"/>
    <w:rsid w:val="00EB5285"/>
    <w:rsid w:val="00EC7FC6"/>
    <w:rsid w:val="00ED1510"/>
    <w:rsid w:val="00ED1B0A"/>
    <w:rsid w:val="00ED638C"/>
    <w:rsid w:val="00EE27BC"/>
    <w:rsid w:val="00EF1962"/>
    <w:rsid w:val="00EF2A85"/>
    <w:rsid w:val="00EF3A9A"/>
    <w:rsid w:val="00EF7288"/>
    <w:rsid w:val="00F013E1"/>
    <w:rsid w:val="00F07EEA"/>
    <w:rsid w:val="00F20DB7"/>
    <w:rsid w:val="00F242A0"/>
    <w:rsid w:val="00F3280C"/>
    <w:rsid w:val="00F35DDA"/>
    <w:rsid w:val="00F40CEF"/>
    <w:rsid w:val="00F42302"/>
    <w:rsid w:val="00F45E0C"/>
    <w:rsid w:val="00F52D1A"/>
    <w:rsid w:val="00F6097A"/>
    <w:rsid w:val="00F61348"/>
    <w:rsid w:val="00F6607C"/>
    <w:rsid w:val="00F81312"/>
    <w:rsid w:val="00F91AF7"/>
    <w:rsid w:val="00F9758B"/>
    <w:rsid w:val="00F97A1C"/>
    <w:rsid w:val="00FA3736"/>
    <w:rsid w:val="00FC0829"/>
    <w:rsid w:val="00FC77C9"/>
    <w:rsid w:val="00FD3885"/>
    <w:rsid w:val="00FD419D"/>
    <w:rsid w:val="00FD4631"/>
    <w:rsid w:val="00FF2A24"/>
    <w:rsid w:val="00FF5BD8"/>
    <w:rsid w:val="036F2FCB"/>
    <w:rsid w:val="05C173E2"/>
    <w:rsid w:val="096602C4"/>
    <w:rsid w:val="0A206EC6"/>
    <w:rsid w:val="0B3D64D0"/>
    <w:rsid w:val="10D03CD5"/>
    <w:rsid w:val="113B70D7"/>
    <w:rsid w:val="122A73E0"/>
    <w:rsid w:val="133C2322"/>
    <w:rsid w:val="13504AC0"/>
    <w:rsid w:val="13E42406"/>
    <w:rsid w:val="22FB7F7F"/>
    <w:rsid w:val="277976C4"/>
    <w:rsid w:val="28623A1D"/>
    <w:rsid w:val="28AA60CA"/>
    <w:rsid w:val="2E041AA4"/>
    <w:rsid w:val="2EDF0D57"/>
    <w:rsid w:val="3EBA3A6C"/>
    <w:rsid w:val="43A90A21"/>
    <w:rsid w:val="4AFB2791"/>
    <w:rsid w:val="4C2304DC"/>
    <w:rsid w:val="5C1E10E8"/>
    <w:rsid w:val="64DB4F3F"/>
    <w:rsid w:val="675B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table" w:customStyle="1" w:styleId="8">
    <w:name w:val="网格型1"/>
    <w:basedOn w:val="4"/>
    <w:qFormat/>
    <w:uiPriority w:val="39"/>
    <w:rPr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12">
    <w:name w:val="网格型2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  <w:style w:type="character" w:customStyle="1" w:styleId="14">
    <w:name w:val="font21"/>
    <w:basedOn w:val="6"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8CB21-984A-47C6-B043-359B117C8E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1071</Words>
  <Characters>6350</Characters>
  <Lines>90</Lines>
  <Paragraphs>21</Paragraphs>
  <TotalTime>8</TotalTime>
  <ScaleCrop>false</ScaleCrop>
  <LinksUpToDate>false</LinksUpToDate>
  <CharactersWithSpaces>7215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2025-04-18T07:00:00Z</dcterms:created>
  <dc:creator>俊 陆</dc:creator>
  <cp:lastModifiedBy>石业伟</cp:lastModifiedBy>
  <dcterms:modified xsi:type="dcterms:W3CDTF">2025-07-19T15:43:18Z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eyJoZGlkIjoiMWNlODc4N2NmNjM2YmE4NjQxMjIwNGRhYmRlNTVkNWMiLCJ1c2VySWQiOiIyMDI5MDg3In0=</vt:lpwstr>
  </property>
  <property fmtid="{D5CDD505-2E9C-101B-9397-08002B2CF9AE}" pid="3" name="KSOProductBuildVer">
    <vt:lpwstr>2052-12.1.0.22175</vt:lpwstr>
  </property>
  <property fmtid="{D5CDD505-2E9C-101B-9397-08002B2CF9AE}" pid="4" name="ICV">
    <vt:lpwstr>F1995A0A5A0A4F1C8B599B429801F304_12</vt:lpwstr>
  </property>
</Properties>
</file>