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E292138" w14:textId="77777777" w:rsidR="005A089E" w:rsidRDefault="00B85039">
      <w:pPr>
        <w:spacing w:line="480" w:lineRule="auto"/>
        <w:ind w:firstLineChars="0" w:firstLine="0"/>
        <w:rPr>
          <w:rFonts w:cs="Times New Roman"/>
        </w:rPr>
      </w:pPr>
      <w:r>
        <w:rPr>
          <w:rFonts w:cs="Times New Roman"/>
        </w:rPr>
        <w:t>Supporting information</w:t>
      </w:r>
    </w:p>
    <w:p w14:paraId="1AEC38A3" w14:textId="77777777" w:rsidR="005A089E" w:rsidRDefault="00B85039">
      <w:pPr>
        <w:spacing w:line="480" w:lineRule="auto"/>
        <w:ind w:firstLineChars="0" w:firstLine="0"/>
        <w:rPr>
          <w:rFonts w:cs="Times New Roman"/>
        </w:rPr>
      </w:pPr>
      <w:r>
        <w:rPr>
          <w:rFonts w:cs="Times New Roman"/>
        </w:rPr>
        <w:t>FigureS1 Synergistic effects of enrofloxacin and colistin.</w:t>
      </w:r>
    </w:p>
    <w:p w14:paraId="73459024" w14:textId="77777777" w:rsidR="005A089E" w:rsidRDefault="00B85039">
      <w:pPr>
        <w:spacing w:line="480" w:lineRule="auto"/>
        <w:ind w:firstLineChars="0" w:firstLine="0"/>
        <w:rPr>
          <w:rFonts w:cs="Times New Roman"/>
        </w:rPr>
      </w:pPr>
      <w:r>
        <w:rPr>
          <w:rFonts w:cs="Times New Roman"/>
          <w:noProof/>
        </w:rPr>
        <w:drawing>
          <wp:inline distT="0" distB="0" distL="114300" distR="114300" wp14:anchorId="71816C7A" wp14:editId="0D2B7949">
            <wp:extent cx="5272405" cy="2165985"/>
            <wp:effectExtent l="0" t="0" r="4445" b="5715"/>
            <wp:docPr id="8" name="图片 8" descr="SI-FIC-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 descr="SI-FIC-01"/>
                    <pic:cNvPicPr>
                      <a:picLocks noChangeAspect="1"/>
                    </pic:cNvPicPr>
                  </pic:nvPicPr>
                  <pic:blipFill>
                    <a:blip r:embed="rId7"/>
                    <a:srcRect l="2487" t="11833" b="7331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21659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B7A77E" w14:textId="77777777" w:rsidR="005A089E" w:rsidRDefault="00B85039">
      <w:pPr>
        <w:spacing w:line="480" w:lineRule="auto"/>
        <w:ind w:firstLineChars="0" w:firstLine="0"/>
        <w:jc w:val="left"/>
        <w:rPr>
          <w:rFonts w:cs="Times New Roman"/>
        </w:rPr>
      </w:pPr>
      <w:r>
        <w:rPr>
          <w:rFonts w:cs="Times New Roman"/>
        </w:rPr>
        <w:t>Figure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>S2 Bactericidal curves of single and compound combinations of enrofloxacin and colistin (</w:t>
      </w:r>
      <w:r>
        <w:rPr>
          <w:rFonts w:cs="Times New Roman"/>
          <w:i/>
          <w:iCs/>
        </w:rPr>
        <w:t xml:space="preserve">Klebsiella pneumoniae </w:t>
      </w:r>
      <w:r>
        <w:rPr>
          <w:rFonts w:cs="Times New Roman"/>
        </w:rPr>
        <w:t>WNX-1</w:t>
      </w:r>
      <w:r>
        <w:rPr>
          <w:rFonts w:cs="Times New Roman"/>
        </w:rPr>
        <w:t>).</w:t>
      </w:r>
    </w:p>
    <w:p w14:paraId="76A174B2" w14:textId="77777777" w:rsidR="005A089E" w:rsidRDefault="00B85039">
      <w:pPr>
        <w:spacing w:line="480" w:lineRule="auto"/>
        <w:ind w:firstLineChars="0" w:firstLine="0"/>
        <w:jc w:val="center"/>
        <w:rPr>
          <w:rFonts w:cs="Times New Roman"/>
        </w:rPr>
      </w:pPr>
      <w:r>
        <w:rPr>
          <w:noProof/>
        </w:rPr>
        <w:drawing>
          <wp:inline distT="0" distB="0" distL="114300" distR="114300" wp14:anchorId="57D8ADD3" wp14:editId="2E915C5B">
            <wp:extent cx="3293745" cy="1770380"/>
            <wp:effectExtent l="0" t="0" r="1905" b="127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3293745" cy="1770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6CE65" w14:textId="77777777" w:rsidR="005A089E" w:rsidRDefault="00B85039">
      <w:pPr>
        <w:spacing w:line="480" w:lineRule="auto"/>
        <w:ind w:firstLineChars="0" w:firstLine="0"/>
        <w:rPr>
          <w:rFonts w:cs="Times New Roman"/>
        </w:rPr>
      </w:pPr>
      <w:r>
        <w:rPr>
          <w:rFonts w:cs="Times New Roman"/>
        </w:rPr>
        <w:t>Figure</w:t>
      </w:r>
      <w:r>
        <w:rPr>
          <w:rFonts w:cs="Times New Roman" w:hint="eastAsia"/>
        </w:rPr>
        <w:t xml:space="preserve"> </w:t>
      </w:r>
      <w:r>
        <w:rPr>
          <w:rFonts w:cs="Times New Roman"/>
        </w:rPr>
        <w:t xml:space="preserve">S3 HPLC spectrum of </w:t>
      </w:r>
      <w:r>
        <w:rPr>
          <w:rFonts w:cs="Times New Roman"/>
        </w:rPr>
        <w:t>enrofloxacin (A) and colistin (B).</w:t>
      </w:r>
    </w:p>
    <w:p w14:paraId="3F28CABD" w14:textId="77777777" w:rsidR="005A089E" w:rsidRDefault="00B85039">
      <w:pPr>
        <w:spacing w:line="480" w:lineRule="auto"/>
        <w:ind w:firstLineChars="0" w:firstLine="0"/>
        <w:rPr>
          <w:rFonts w:cs="Times New Roman"/>
        </w:rPr>
      </w:pPr>
      <w:r>
        <w:rPr>
          <w:rFonts w:cs="Times New Roman"/>
        </w:rPr>
        <w:t xml:space="preserve">HPLC method for the determination of </w:t>
      </w:r>
      <w:r>
        <w:rPr>
          <w:rFonts w:cs="Times New Roman" w:hint="eastAsia"/>
        </w:rPr>
        <w:t>colistin</w:t>
      </w:r>
      <w:r>
        <w:rPr>
          <w:rFonts w:cs="Times New Roman"/>
        </w:rPr>
        <w:t xml:space="preserve"> as below</w:t>
      </w:r>
      <w:r>
        <w:rPr>
          <w:rFonts w:cs="Times New Roman" w:hint="eastAsia"/>
        </w:rPr>
        <w:t xml:space="preserve">. </w:t>
      </w:r>
      <w:r>
        <w:rPr>
          <w:rFonts w:cs="Times New Roman"/>
        </w:rPr>
        <w:t xml:space="preserve">The </w:t>
      </w:r>
      <w:r>
        <w:rPr>
          <w:rFonts w:cs="Times New Roman" w:hint="eastAsia"/>
        </w:rPr>
        <w:t>c</w:t>
      </w:r>
      <w:r>
        <w:rPr>
          <w:rFonts w:cs="Times New Roman"/>
        </w:rPr>
        <w:t>hromatographic separation was performed on a Waters XBridge Peptide BEH C18 column (300 Å, 5 µm, 4.6 mm × 250 mm) at 28°C. The mobile phase (78:22, v/v) comprised aqueous phase A (pH 3.0; 7.1 g sodium sulfite, 1.1 mL phosphoric acid, 2.3 mL acetic acid, 4.0 mL triethylamine in 1 L water) and acetonitrile (phase B)</w:t>
      </w:r>
      <w:r>
        <w:rPr>
          <w:rFonts w:cs="Times New Roman" w:hint="eastAsia"/>
        </w:rPr>
        <w:t xml:space="preserve">, </w:t>
      </w:r>
      <w:r>
        <w:rPr>
          <w:rFonts w:cs="Times New Roman"/>
        </w:rPr>
        <w:t>delivered isocratically at 1.0 mL/min</w:t>
      </w:r>
      <w:r>
        <w:rPr>
          <w:rFonts w:cs="Times New Roman" w:hint="eastAsia"/>
        </w:rPr>
        <w:t>.</w:t>
      </w:r>
      <w:r>
        <w:rPr>
          <w:rFonts w:cs="Times New Roman"/>
        </w:rPr>
        <w:t xml:space="preserve"> Colistin quantification utilized UV detection (206 nm) with 20 μL injections, validated for linearity (</w:t>
      </w:r>
      <w:r>
        <w:rPr>
          <w:rFonts w:cs="Times New Roman" w:hint="eastAsia"/>
        </w:rPr>
        <w:t>200</w:t>
      </w:r>
      <w:r>
        <w:rPr>
          <w:rFonts w:cs="Times New Roman"/>
        </w:rPr>
        <w:t>–</w:t>
      </w:r>
      <w:r>
        <w:rPr>
          <w:rFonts w:cs="Times New Roman" w:hint="eastAsia"/>
        </w:rPr>
        <w:t>6000</w:t>
      </w:r>
      <w:r>
        <w:rPr>
          <w:rFonts w:cs="Times New Roman"/>
        </w:rPr>
        <w:t xml:space="preserve"> ppm). Samples were d</w:t>
      </w:r>
      <w:r>
        <w:rPr>
          <w:rFonts w:cs="Times New Roman"/>
        </w:rPr>
        <w:t>iluted in mobile phase.</w:t>
      </w:r>
    </w:p>
    <w:p w14:paraId="1AF68A88" w14:textId="77777777" w:rsidR="005A089E" w:rsidRDefault="005A089E">
      <w:pPr>
        <w:spacing w:line="480" w:lineRule="auto"/>
        <w:ind w:firstLineChars="0" w:firstLine="0"/>
        <w:rPr>
          <w:rFonts w:cs="Times New Roman"/>
        </w:rPr>
      </w:pPr>
    </w:p>
    <w:p w14:paraId="7F2D3D06" w14:textId="77777777" w:rsidR="005A089E" w:rsidRDefault="00B85039">
      <w:pPr>
        <w:spacing w:line="480" w:lineRule="auto"/>
        <w:ind w:firstLineChars="0" w:firstLine="0"/>
        <w:rPr>
          <w:rFonts w:cs="Times New Roman"/>
        </w:rPr>
      </w:pPr>
      <w:r>
        <w:rPr>
          <w:rFonts w:cs="Times New Roman"/>
          <w:noProof/>
        </w:rPr>
        <w:lastRenderedPageBreak/>
        <w:drawing>
          <wp:inline distT="0" distB="0" distL="114300" distR="114300" wp14:anchorId="1990EDB2" wp14:editId="67FB88F3">
            <wp:extent cx="5269865" cy="1631950"/>
            <wp:effectExtent l="0" t="0" r="6985" b="6350"/>
            <wp:docPr id="5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2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58B032C" w14:textId="77777777" w:rsidR="005A089E" w:rsidRDefault="005A089E">
      <w:pPr>
        <w:spacing w:line="480" w:lineRule="auto"/>
        <w:ind w:firstLineChars="0" w:firstLine="0"/>
        <w:rPr>
          <w:rFonts w:cs="Times New Roman"/>
        </w:rPr>
      </w:pPr>
    </w:p>
    <w:p w14:paraId="4105695B" w14:textId="77777777" w:rsidR="005A089E" w:rsidRDefault="00B85039">
      <w:pPr>
        <w:spacing w:line="480" w:lineRule="auto"/>
        <w:ind w:firstLine="396"/>
        <w:rPr>
          <w:rFonts w:cs="Times New Roman"/>
        </w:rPr>
      </w:pPr>
      <w:r>
        <w:rPr>
          <w:rFonts w:cs="Times New Roman"/>
        </w:rPr>
        <w:br w:type="page"/>
      </w:r>
    </w:p>
    <w:p w14:paraId="07A78EA5" w14:textId="77777777" w:rsidR="005A089E" w:rsidRDefault="00B85039">
      <w:pPr>
        <w:spacing w:line="480" w:lineRule="auto"/>
        <w:ind w:firstLineChars="0" w:firstLine="0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lastRenderedPageBreak/>
        <w:t>Table S1 UV-Vis Spectroscopy Conditions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336"/>
        <w:gridCol w:w="3709"/>
      </w:tblGrid>
      <w:tr w:rsidR="005A089E" w14:paraId="5BE490FB" w14:textId="77777777">
        <w:trPr>
          <w:tblHeader/>
          <w:tblCellSpacing w:w="15" w:type="dxa"/>
        </w:trPr>
        <w:tc>
          <w:tcPr>
            <w:tcW w:w="3291" w:type="dxa"/>
            <w:tcBorders>
              <w:top w:val="single" w:sz="4" w:space="0" w:color="auto"/>
              <w:bottom w:val="single" w:sz="4" w:space="0" w:color="auto"/>
              <w:tl2br w:val="nil"/>
            </w:tcBorders>
            <w:shd w:val="clear" w:color="auto" w:fill="FFFFFF"/>
          </w:tcPr>
          <w:p w14:paraId="42180777" w14:textId="77777777" w:rsidR="005A089E" w:rsidRDefault="00B85039">
            <w:pPr>
              <w:widowControl/>
              <w:ind w:firstLineChars="0" w:firstLine="0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  <w:kern w:val="0"/>
                <w:sz w:val="24"/>
                <w:szCs w:val="24"/>
                <w:lang w:bidi="ar"/>
              </w:rPr>
              <w:t>Parameter</w:t>
            </w:r>
          </w:p>
        </w:tc>
        <w:tc>
          <w:tcPr>
            <w:tcW w:w="3664" w:type="dxa"/>
            <w:tcBorders>
              <w:top w:val="single" w:sz="4" w:space="0" w:color="auto"/>
              <w:bottom w:val="single" w:sz="4" w:space="0" w:color="auto"/>
            </w:tcBorders>
            <w:shd w:val="clear" w:color="auto" w:fill="FFFFFF"/>
          </w:tcPr>
          <w:p w14:paraId="2EE32A90" w14:textId="77777777" w:rsidR="005A089E" w:rsidRDefault="00B85039">
            <w:pPr>
              <w:widowControl/>
              <w:ind w:firstLineChars="0" w:firstLine="0"/>
              <w:rPr>
                <w:rFonts w:cs="Times New Roman"/>
                <w:bCs/>
                <w:color w:val="000000"/>
              </w:rPr>
            </w:pPr>
            <w:r>
              <w:rPr>
                <w:rFonts w:cs="Times New Roman"/>
                <w:bCs/>
                <w:color w:val="000000"/>
                <w:kern w:val="0"/>
                <w:sz w:val="24"/>
                <w:szCs w:val="24"/>
                <w:lang w:bidi="ar"/>
              </w:rPr>
              <w:t>Condition</w:t>
            </w:r>
          </w:p>
        </w:tc>
      </w:tr>
      <w:tr w:rsidR="005A089E" w14:paraId="7365D002" w14:textId="77777777">
        <w:trPr>
          <w:tblCellSpacing w:w="15" w:type="dxa"/>
        </w:trPr>
        <w:tc>
          <w:tcPr>
            <w:tcW w:w="3291" w:type="dxa"/>
            <w:shd w:val="clear" w:color="auto" w:fill="FFFFFF"/>
          </w:tcPr>
          <w:p w14:paraId="6A9ACFA3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 xml:space="preserve">Solvent for </w:t>
            </w:r>
            <w:r>
              <w:rPr>
                <w:rFonts w:cs="Times New Roman" w:hint="eastAsia"/>
                <w:color w:val="000000"/>
                <w:kern w:val="0"/>
                <w:sz w:val="24"/>
                <w:szCs w:val="24"/>
                <w:lang w:bidi="ar"/>
              </w:rPr>
              <w:t>e</w:t>
            </w: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nrofloxacin</w:t>
            </w:r>
          </w:p>
        </w:tc>
        <w:tc>
          <w:tcPr>
            <w:tcW w:w="3664" w:type="dxa"/>
            <w:shd w:val="clear" w:color="auto" w:fill="FFFFFF"/>
          </w:tcPr>
          <w:p w14:paraId="501C93FA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Water</w:t>
            </w:r>
          </w:p>
        </w:tc>
      </w:tr>
      <w:tr w:rsidR="005A089E" w14:paraId="0AD58BAD" w14:textId="77777777">
        <w:trPr>
          <w:tblCellSpacing w:w="15" w:type="dxa"/>
        </w:trPr>
        <w:tc>
          <w:tcPr>
            <w:tcW w:w="3291" w:type="dxa"/>
            <w:shd w:val="clear" w:color="auto" w:fill="FFFFFF"/>
          </w:tcPr>
          <w:p w14:paraId="23E9D60A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 xml:space="preserve">Solvent for </w:t>
            </w:r>
            <w:r>
              <w:rPr>
                <w:rFonts w:cs="Times New Roman" w:hint="eastAsia"/>
                <w:color w:val="000000"/>
                <w:kern w:val="0"/>
                <w:sz w:val="24"/>
                <w:szCs w:val="24"/>
                <w:lang w:bidi="ar"/>
              </w:rPr>
              <w:t>e</w:t>
            </w: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 xml:space="preserve">nrofloxacin </w:t>
            </w:r>
            <w:r>
              <w:rPr>
                <w:rFonts w:cs="Times New Roman" w:hint="eastAsia"/>
                <w:color w:val="000000"/>
                <w:kern w:val="0"/>
                <w:sz w:val="24"/>
                <w:szCs w:val="24"/>
                <w:lang w:bidi="ar"/>
              </w:rPr>
              <w:t>s</w:t>
            </w: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odium</w:t>
            </w:r>
          </w:p>
        </w:tc>
        <w:tc>
          <w:tcPr>
            <w:tcW w:w="3664" w:type="dxa"/>
            <w:shd w:val="clear" w:color="auto" w:fill="FFFFFF"/>
          </w:tcPr>
          <w:p w14:paraId="5CC4F41B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 xml:space="preserve">40% </w:t>
            </w: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1,2-Propanediol</w:t>
            </w:r>
          </w:p>
        </w:tc>
      </w:tr>
      <w:tr w:rsidR="005A089E" w14:paraId="74C11150" w14:textId="77777777">
        <w:trPr>
          <w:tblCellSpacing w:w="15" w:type="dxa"/>
        </w:trPr>
        <w:tc>
          <w:tcPr>
            <w:tcW w:w="3291" w:type="dxa"/>
            <w:shd w:val="clear" w:color="auto" w:fill="FFFFFF"/>
          </w:tcPr>
          <w:p w14:paraId="3D5C137C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 xml:space="preserve">Final </w:t>
            </w:r>
            <w:r>
              <w:rPr>
                <w:rFonts w:cs="Times New Roman" w:hint="eastAsia"/>
                <w:color w:val="000000"/>
                <w:kern w:val="0"/>
                <w:sz w:val="24"/>
                <w:szCs w:val="24"/>
                <w:lang w:bidi="ar"/>
              </w:rPr>
              <w:t>c</w:t>
            </w: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oncentration</w:t>
            </w:r>
          </w:p>
        </w:tc>
        <w:tc>
          <w:tcPr>
            <w:tcW w:w="3664" w:type="dxa"/>
            <w:shd w:val="clear" w:color="auto" w:fill="FFFFFF"/>
          </w:tcPr>
          <w:p w14:paraId="10645943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10 μg/mL</w:t>
            </w:r>
          </w:p>
        </w:tc>
      </w:tr>
      <w:tr w:rsidR="005A089E" w14:paraId="00F85D5F" w14:textId="77777777">
        <w:trPr>
          <w:tblCellSpacing w:w="15" w:type="dxa"/>
        </w:trPr>
        <w:tc>
          <w:tcPr>
            <w:tcW w:w="3291" w:type="dxa"/>
            <w:shd w:val="clear" w:color="auto" w:fill="FFFFFF"/>
          </w:tcPr>
          <w:p w14:paraId="2DC23030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Volume per well</w:t>
            </w:r>
          </w:p>
        </w:tc>
        <w:tc>
          <w:tcPr>
            <w:tcW w:w="3664" w:type="dxa"/>
            <w:shd w:val="clear" w:color="auto" w:fill="FFFFFF"/>
          </w:tcPr>
          <w:p w14:paraId="0DBF5A50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200 μL</w:t>
            </w:r>
          </w:p>
        </w:tc>
      </w:tr>
      <w:tr w:rsidR="005A089E" w14:paraId="342F65C5" w14:textId="77777777">
        <w:trPr>
          <w:tblCellSpacing w:w="15" w:type="dxa"/>
        </w:trPr>
        <w:tc>
          <w:tcPr>
            <w:tcW w:w="3291" w:type="dxa"/>
            <w:shd w:val="clear" w:color="auto" w:fill="FFFFFF"/>
          </w:tcPr>
          <w:p w14:paraId="5322C2BA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Plate type</w:t>
            </w:r>
          </w:p>
        </w:tc>
        <w:tc>
          <w:tcPr>
            <w:tcW w:w="3664" w:type="dxa"/>
            <w:shd w:val="clear" w:color="auto" w:fill="FFFFFF"/>
          </w:tcPr>
          <w:p w14:paraId="779542C5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96-well quartz plate</w:t>
            </w:r>
          </w:p>
        </w:tc>
      </w:tr>
      <w:tr w:rsidR="005A089E" w14:paraId="09DAEC17" w14:textId="77777777">
        <w:trPr>
          <w:tblCellSpacing w:w="15" w:type="dxa"/>
        </w:trPr>
        <w:tc>
          <w:tcPr>
            <w:tcW w:w="3291" w:type="dxa"/>
            <w:tcBorders>
              <w:bottom w:val="single" w:sz="4" w:space="0" w:color="auto"/>
            </w:tcBorders>
            <w:shd w:val="clear" w:color="auto" w:fill="FFFFFF"/>
          </w:tcPr>
          <w:p w14:paraId="1960071E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Wavelength range</w:t>
            </w:r>
          </w:p>
        </w:tc>
        <w:tc>
          <w:tcPr>
            <w:tcW w:w="3664" w:type="dxa"/>
            <w:tcBorders>
              <w:bottom w:val="single" w:sz="4" w:space="0" w:color="auto"/>
            </w:tcBorders>
            <w:shd w:val="clear" w:color="auto" w:fill="FFFFFF"/>
          </w:tcPr>
          <w:p w14:paraId="13FDC77E" w14:textId="77777777" w:rsidR="005A089E" w:rsidRDefault="00B85039">
            <w:pPr>
              <w:widowControl/>
              <w:ind w:firstLineChars="0" w:firstLine="0"/>
              <w:rPr>
                <w:rFonts w:cs="Times New Roman"/>
                <w:color w:val="000000"/>
              </w:rPr>
            </w:pPr>
            <w:r>
              <w:rPr>
                <w:rFonts w:cs="Times New Roman"/>
                <w:color w:val="000000"/>
                <w:kern w:val="0"/>
                <w:sz w:val="24"/>
                <w:szCs w:val="24"/>
                <w:lang w:bidi="ar"/>
              </w:rPr>
              <w:t>230–800 nm</w:t>
            </w:r>
          </w:p>
        </w:tc>
      </w:tr>
    </w:tbl>
    <w:p w14:paraId="2E9FF47D" w14:textId="77777777" w:rsidR="005A089E" w:rsidRDefault="005A089E">
      <w:pPr>
        <w:spacing w:line="480" w:lineRule="auto"/>
        <w:ind w:firstLineChars="0" w:firstLine="0"/>
        <w:rPr>
          <w:rFonts w:cs="Times New Roman"/>
          <w:b/>
          <w:bCs/>
        </w:rPr>
      </w:pPr>
    </w:p>
    <w:p w14:paraId="497339D9" w14:textId="77777777" w:rsidR="005A089E" w:rsidRDefault="00B85039">
      <w:pPr>
        <w:ind w:firstLine="398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br w:type="page"/>
      </w:r>
    </w:p>
    <w:p w14:paraId="647F1CE3" w14:textId="77777777" w:rsidR="005A089E" w:rsidRDefault="00B85039">
      <w:pPr>
        <w:spacing w:line="480" w:lineRule="auto"/>
        <w:ind w:firstLineChars="0" w:firstLine="0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lastRenderedPageBreak/>
        <w:t>Table S2</w:t>
      </w:r>
      <w:r>
        <w:rPr>
          <w:rFonts w:cs="Times New Roman" w:hint="eastAsia"/>
          <w:b/>
          <w:bCs/>
          <w:vertAlign w:val="superscript"/>
        </w:rPr>
        <w:t xml:space="preserve"> 1</w:t>
      </w:r>
      <w:r>
        <w:rPr>
          <w:rFonts w:cs="Times New Roman" w:hint="eastAsia"/>
          <w:b/>
          <w:bCs/>
        </w:rPr>
        <w:t>H NMR Spectroscopy Parameters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2372"/>
        <w:gridCol w:w="4673"/>
      </w:tblGrid>
      <w:tr w:rsidR="005A089E" w14:paraId="707586E6" w14:textId="77777777">
        <w:trPr>
          <w:tblHeader/>
          <w:tblCellSpacing w:w="15" w:type="dxa"/>
        </w:trPr>
        <w:tc>
          <w:tcPr>
            <w:tcW w:w="2327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7B840F3F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Parameter</w:t>
            </w:r>
          </w:p>
        </w:tc>
        <w:tc>
          <w:tcPr>
            <w:tcW w:w="4628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1449DB7A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Setting</w:t>
            </w:r>
          </w:p>
        </w:tc>
      </w:tr>
      <w:tr w:rsidR="005A089E" w14:paraId="2791C6C9" w14:textId="77777777">
        <w:trPr>
          <w:tblCellSpacing w:w="15" w:type="dxa"/>
        </w:trPr>
        <w:tc>
          <w:tcPr>
            <w:tcW w:w="2327" w:type="dxa"/>
            <w:shd w:val="clear" w:color="auto" w:fill="auto"/>
            <w:vAlign w:val="center"/>
          </w:tcPr>
          <w:p w14:paraId="67C50C81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Instrument</w:t>
            </w:r>
          </w:p>
        </w:tc>
        <w:tc>
          <w:tcPr>
            <w:tcW w:w="4628" w:type="dxa"/>
            <w:shd w:val="clear" w:color="auto" w:fill="auto"/>
            <w:vAlign w:val="center"/>
          </w:tcPr>
          <w:p w14:paraId="0D7DA0E2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JNM-ECZ400S NMR system (JEOL, Japan)</w:t>
            </w:r>
          </w:p>
        </w:tc>
      </w:tr>
      <w:tr w:rsidR="005A089E" w14:paraId="6119FCDF" w14:textId="77777777">
        <w:trPr>
          <w:tblCellSpacing w:w="15" w:type="dxa"/>
        </w:trPr>
        <w:tc>
          <w:tcPr>
            <w:tcW w:w="2327" w:type="dxa"/>
            <w:shd w:val="clear" w:color="auto" w:fill="auto"/>
            <w:vAlign w:val="center"/>
          </w:tcPr>
          <w:p w14:paraId="1E83C7D7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Temperature</w:t>
            </w:r>
          </w:p>
        </w:tc>
        <w:tc>
          <w:tcPr>
            <w:tcW w:w="4628" w:type="dxa"/>
            <w:shd w:val="clear" w:color="auto" w:fill="auto"/>
            <w:vAlign w:val="center"/>
          </w:tcPr>
          <w:p w14:paraId="40964D23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20 °C</w:t>
            </w:r>
          </w:p>
        </w:tc>
      </w:tr>
      <w:tr w:rsidR="005A089E" w14:paraId="2B2A0B69" w14:textId="77777777">
        <w:trPr>
          <w:tblCellSpacing w:w="15" w:type="dxa"/>
        </w:trPr>
        <w:tc>
          <w:tcPr>
            <w:tcW w:w="2327" w:type="dxa"/>
            <w:shd w:val="clear" w:color="auto" w:fill="auto"/>
            <w:vAlign w:val="center"/>
          </w:tcPr>
          <w:p w14:paraId="3D06E9F4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Acquisition time</w:t>
            </w:r>
          </w:p>
        </w:tc>
        <w:tc>
          <w:tcPr>
            <w:tcW w:w="4628" w:type="dxa"/>
            <w:shd w:val="clear" w:color="auto" w:fill="auto"/>
            <w:vAlign w:val="center"/>
          </w:tcPr>
          <w:p w14:paraId="4D4A018B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2.1863 s</w:t>
            </w:r>
          </w:p>
        </w:tc>
      </w:tr>
      <w:tr w:rsidR="005A089E" w14:paraId="6A08F47B" w14:textId="77777777">
        <w:trPr>
          <w:tblCellSpacing w:w="15" w:type="dxa"/>
        </w:trPr>
        <w:tc>
          <w:tcPr>
            <w:tcW w:w="2327" w:type="dxa"/>
            <w:shd w:val="clear" w:color="auto" w:fill="auto"/>
            <w:vAlign w:val="center"/>
          </w:tcPr>
          <w:p w14:paraId="070493CA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Relaxation delay</w:t>
            </w:r>
          </w:p>
        </w:tc>
        <w:tc>
          <w:tcPr>
            <w:tcW w:w="4628" w:type="dxa"/>
            <w:shd w:val="clear" w:color="auto" w:fill="auto"/>
            <w:vAlign w:val="center"/>
          </w:tcPr>
          <w:p w14:paraId="55A65B49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5.0000 s</w:t>
            </w:r>
          </w:p>
        </w:tc>
      </w:tr>
      <w:tr w:rsidR="005A089E" w14:paraId="72E6C3DF" w14:textId="77777777">
        <w:trPr>
          <w:tblCellSpacing w:w="15" w:type="dxa"/>
        </w:trPr>
        <w:tc>
          <w:tcPr>
            <w:tcW w:w="2327" w:type="dxa"/>
            <w:shd w:val="clear" w:color="auto" w:fill="auto"/>
            <w:vAlign w:val="center"/>
          </w:tcPr>
          <w:p w14:paraId="74980146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Number of scans</w:t>
            </w:r>
          </w:p>
        </w:tc>
        <w:tc>
          <w:tcPr>
            <w:tcW w:w="4628" w:type="dxa"/>
            <w:shd w:val="clear" w:color="auto" w:fill="auto"/>
            <w:vAlign w:val="center"/>
          </w:tcPr>
          <w:p w14:paraId="0675DE88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8</w:t>
            </w:r>
          </w:p>
        </w:tc>
      </w:tr>
      <w:tr w:rsidR="005A089E" w14:paraId="02C0CA17" w14:textId="77777777">
        <w:trPr>
          <w:trHeight w:val="451"/>
          <w:tblCellSpacing w:w="15" w:type="dxa"/>
        </w:trPr>
        <w:tc>
          <w:tcPr>
            <w:tcW w:w="2327" w:type="dxa"/>
            <w:shd w:val="clear" w:color="auto" w:fill="auto"/>
            <w:vAlign w:val="center"/>
          </w:tcPr>
          <w:p w14:paraId="19F53242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Receiver gain</w:t>
            </w:r>
          </w:p>
        </w:tc>
        <w:tc>
          <w:tcPr>
            <w:tcW w:w="4628" w:type="dxa"/>
            <w:shd w:val="clear" w:color="auto" w:fill="auto"/>
            <w:vAlign w:val="center"/>
          </w:tcPr>
          <w:p w14:paraId="6E95C559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26.0</w:t>
            </w:r>
          </w:p>
        </w:tc>
      </w:tr>
      <w:tr w:rsidR="005A089E" w14:paraId="27259460" w14:textId="77777777">
        <w:trPr>
          <w:tblCellSpacing w:w="15" w:type="dxa"/>
        </w:trPr>
        <w:tc>
          <w:tcPr>
            <w:tcW w:w="2327" w:type="dxa"/>
            <w:shd w:val="clear" w:color="auto" w:fill="auto"/>
            <w:vAlign w:val="center"/>
          </w:tcPr>
          <w:p w14:paraId="3915976B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Pulse width</w:t>
            </w:r>
          </w:p>
        </w:tc>
        <w:tc>
          <w:tcPr>
            <w:tcW w:w="4628" w:type="dxa"/>
            <w:shd w:val="clear" w:color="auto" w:fill="auto"/>
            <w:vAlign w:val="center"/>
          </w:tcPr>
          <w:p w14:paraId="0C5EAD28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3.1250 μs</w:t>
            </w:r>
          </w:p>
        </w:tc>
      </w:tr>
      <w:tr w:rsidR="005A089E" w14:paraId="356BABFC" w14:textId="77777777">
        <w:trPr>
          <w:tblCellSpacing w:w="15" w:type="dxa"/>
        </w:trPr>
        <w:tc>
          <w:tcPr>
            <w:tcW w:w="2327" w:type="dxa"/>
            <w:shd w:val="clear" w:color="auto" w:fill="auto"/>
            <w:vAlign w:val="center"/>
          </w:tcPr>
          <w:p w14:paraId="67B9ED3B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Spectral width</w:t>
            </w:r>
          </w:p>
        </w:tc>
        <w:tc>
          <w:tcPr>
            <w:tcW w:w="4628" w:type="dxa"/>
            <w:shd w:val="clear" w:color="auto" w:fill="auto"/>
            <w:vAlign w:val="center"/>
          </w:tcPr>
          <w:p w14:paraId="62CEDFC6" w14:textId="77777777" w:rsidR="005A089E" w:rsidRDefault="00B85039">
            <w:pPr>
              <w:widowControl/>
              <w:tabs>
                <w:tab w:val="left" w:pos="0"/>
              </w:tabs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5995.2 Hz</w:t>
            </w:r>
          </w:p>
        </w:tc>
      </w:tr>
      <w:tr w:rsidR="005A089E" w14:paraId="689B0ED2" w14:textId="77777777">
        <w:trPr>
          <w:tblCellSpacing w:w="15" w:type="dxa"/>
        </w:trPr>
        <w:tc>
          <w:tcPr>
            <w:tcW w:w="2327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7EB1C274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Minimum frequency</w:t>
            </w:r>
          </w:p>
        </w:tc>
        <w:tc>
          <w:tcPr>
            <w:tcW w:w="4628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047DC92A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998.6 Hz</w:t>
            </w:r>
          </w:p>
        </w:tc>
      </w:tr>
    </w:tbl>
    <w:p w14:paraId="1F9481D5" w14:textId="77777777" w:rsidR="005A089E" w:rsidRDefault="005A089E">
      <w:pPr>
        <w:spacing w:line="480" w:lineRule="auto"/>
        <w:ind w:firstLineChars="0" w:firstLine="0"/>
        <w:rPr>
          <w:rFonts w:cs="Times New Roman"/>
          <w:b/>
          <w:bCs/>
        </w:rPr>
      </w:pPr>
    </w:p>
    <w:p w14:paraId="1F457F4E" w14:textId="77777777" w:rsidR="005A089E" w:rsidRDefault="00B85039">
      <w:pPr>
        <w:ind w:firstLine="398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br w:type="page"/>
      </w:r>
    </w:p>
    <w:p w14:paraId="48318C48" w14:textId="77777777" w:rsidR="005A089E" w:rsidRDefault="00B85039">
      <w:pPr>
        <w:spacing w:line="480" w:lineRule="auto"/>
        <w:ind w:firstLineChars="0" w:firstLine="0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lastRenderedPageBreak/>
        <w:t>Table S3 Computational Chemistry Parameters</w:t>
      </w:r>
    </w:p>
    <w:tbl>
      <w:tblPr>
        <w:tblW w:w="0" w:type="auto"/>
        <w:tblCellSpacing w:w="15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791"/>
        <w:gridCol w:w="4515"/>
      </w:tblGrid>
      <w:tr w:rsidR="005A089E" w14:paraId="3EAA3C77" w14:textId="77777777">
        <w:trPr>
          <w:tblHeader/>
          <w:tblCellSpacing w:w="15" w:type="dxa"/>
        </w:trPr>
        <w:tc>
          <w:tcPr>
            <w:tcW w:w="378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FDF81CB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Step / Method</w:t>
            </w:r>
          </w:p>
        </w:tc>
        <w:tc>
          <w:tcPr>
            <w:tcW w:w="4523" w:type="dxa"/>
            <w:tcBorders>
              <w:top w:val="single" w:sz="4" w:space="0" w:color="auto"/>
              <w:bottom w:val="single" w:sz="4" w:space="0" w:color="auto"/>
            </w:tcBorders>
            <w:shd w:val="clear" w:color="auto" w:fill="auto"/>
            <w:vAlign w:val="center"/>
          </w:tcPr>
          <w:p w14:paraId="2C832835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Details</w:t>
            </w:r>
          </w:p>
        </w:tc>
      </w:tr>
      <w:tr w:rsidR="005A089E" w14:paraId="592CFDD5" w14:textId="77777777">
        <w:trPr>
          <w:tblCellSpacing w:w="15" w:type="dxa"/>
        </w:trPr>
        <w:tc>
          <w:tcPr>
            <w:tcW w:w="3783" w:type="dxa"/>
            <w:shd w:val="clear" w:color="auto" w:fill="auto"/>
            <w:vAlign w:val="center"/>
          </w:tcPr>
          <w:p w14:paraId="23DE7873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Conformation Search</w:t>
            </w:r>
          </w:p>
        </w:tc>
        <w:tc>
          <w:tcPr>
            <w:tcW w:w="4523" w:type="dxa"/>
            <w:shd w:val="clear" w:color="auto" w:fill="auto"/>
            <w:vAlign w:val="center"/>
          </w:tcPr>
          <w:p w14:paraId="28BF97BD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Molclus + MOPAC v22.0.4, PM6-DH+ method</w:t>
            </w:r>
          </w:p>
        </w:tc>
      </w:tr>
      <w:tr w:rsidR="005A089E" w14:paraId="46F5F6F1" w14:textId="77777777">
        <w:trPr>
          <w:tblCellSpacing w:w="15" w:type="dxa"/>
        </w:trPr>
        <w:tc>
          <w:tcPr>
            <w:tcW w:w="3783" w:type="dxa"/>
            <w:shd w:val="clear" w:color="auto" w:fill="auto"/>
            <w:vAlign w:val="center"/>
          </w:tcPr>
          <w:p w14:paraId="2E12BBDB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Geometry Optimization and Frequency Analysis</w:t>
            </w:r>
          </w:p>
        </w:tc>
        <w:tc>
          <w:tcPr>
            <w:tcW w:w="4523" w:type="dxa"/>
            <w:shd w:val="clear" w:color="auto" w:fill="auto"/>
            <w:vAlign w:val="center"/>
          </w:tcPr>
          <w:p w14:paraId="1FBD947B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Gaussian 09, B3LYP-D3BJ, 6-31G* basis set</w:t>
            </w:r>
          </w:p>
        </w:tc>
      </w:tr>
      <w:tr w:rsidR="005A089E" w14:paraId="575BEFD2" w14:textId="77777777">
        <w:trPr>
          <w:tblCellSpacing w:w="15" w:type="dxa"/>
        </w:trPr>
        <w:tc>
          <w:tcPr>
            <w:tcW w:w="3783" w:type="dxa"/>
            <w:shd w:val="clear" w:color="auto" w:fill="auto"/>
            <w:vAlign w:val="center"/>
          </w:tcPr>
          <w:p w14:paraId="650F6798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Binding Energy Calculations</w:t>
            </w:r>
          </w:p>
        </w:tc>
        <w:tc>
          <w:tcPr>
            <w:tcW w:w="4523" w:type="dxa"/>
            <w:shd w:val="clear" w:color="auto" w:fill="auto"/>
            <w:vAlign w:val="center"/>
          </w:tcPr>
          <w:p w14:paraId="1B062F94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Gaussian 09, M06-2X functional, ma-def2-TZVP basis set</w:t>
            </w:r>
          </w:p>
        </w:tc>
      </w:tr>
      <w:tr w:rsidR="005A089E" w14:paraId="564CF4FF" w14:textId="77777777">
        <w:trPr>
          <w:tblCellSpacing w:w="15" w:type="dxa"/>
        </w:trPr>
        <w:tc>
          <w:tcPr>
            <w:tcW w:w="3783" w:type="dxa"/>
            <w:shd w:val="clear" w:color="auto" w:fill="auto"/>
            <w:vAlign w:val="center"/>
          </w:tcPr>
          <w:p w14:paraId="7D0C27D2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 xml:space="preserve">Weak </w:t>
            </w: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Interaction Analysis</w:t>
            </w:r>
          </w:p>
        </w:tc>
        <w:tc>
          <w:tcPr>
            <w:tcW w:w="4523" w:type="dxa"/>
            <w:shd w:val="clear" w:color="auto" w:fill="auto"/>
            <w:vAlign w:val="center"/>
          </w:tcPr>
          <w:p w14:paraId="5660B001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IGMH analysis with Multiwfn 3.8</w:t>
            </w:r>
          </w:p>
        </w:tc>
      </w:tr>
      <w:tr w:rsidR="005A089E" w14:paraId="5F469997" w14:textId="77777777">
        <w:trPr>
          <w:tblCellSpacing w:w="15" w:type="dxa"/>
        </w:trPr>
        <w:tc>
          <w:tcPr>
            <w:tcW w:w="378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615FC449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Visualization</w:t>
            </w:r>
          </w:p>
        </w:tc>
        <w:tc>
          <w:tcPr>
            <w:tcW w:w="4523" w:type="dxa"/>
            <w:tcBorders>
              <w:bottom w:val="single" w:sz="4" w:space="0" w:color="auto"/>
            </w:tcBorders>
            <w:shd w:val="clear" w:color="auto" w:fill="auto"/>
            <w:vAlign w:val="center"/>
          </w:tcPr>
          <w:p w14:paraId="31FA02B5" w14:textId="77777777" w:rsidR="005A089E" w:rsidRDefault="00B85039">
            <w:pPr>
              <w:widowControl/>
              <w:ind w:firstLineChars="0" w:firstLine="0"/>
              <w:jc w:val="left"/>
              <w:rPr>
                <w:rFonts w:cs="Times New Roman"/>
              </w:rPr>
            </w:pPr>
            <w:r>
              <w:rPr>
                <w:rFonts w:cs="Times New Roman"/>
                <w:kern w:val="0"/>
                <w:sz w:val="24"/>
                <w:szCs w:val="24"/>
                <w:lang w:bidi="ar"/>
              </w:rPr>
              <w:t>VMD software</w:t>
            </w:r>
          </w:p>
        </w:tc>
      </w:tr>
    </w:tbl>
    <w:p w14:paraId="327F2CC5" w14:textId="77777777" w:rsidR="005A089E" w:rsidRDefault="005A089E">
      <w:pPr>
        <w:spacing w:line="480" w:lineRule="auto"/>
        <w:ind w:firstLineChars="0" w:firstLine="0"/>
        <w:rPr>
          <w:rFonts w:cs="Times New Roman"/>
          <w:b/>
          <w:bCs/>
        </w:rPr>
      </w:pPr>
    </w:p>
    <w:p w14:paraId="53E53F28" w14:textId="77777777" w:rsidR="005A089E" w:rsidRDefault="00B85039">
      <w:pPr>
        <w:ind w:firstLine="398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br w:type="page"/>
      </w:r>
    </w:p>
    <w:p w14:paraId="1CB4C736" w14:textId="77777777" w:rsidR="005A089E" w:rsidRDefault="00B85039">
      <w:pPr>
        <w:spacing w:line="480" w:lineRule="auto"/>
        <w:ind w:firstLineChars="0" w:firstLine="0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lastRenderedPageBreak/>
        <w:t>T</w:t>
      </w:r>
      <w:r>
        <w:rPr>
          <w:rFonts w:cs="Times New Roman"/>
          <w:b/>
          <w:bCs/>
        </w:rPr>
        <w:t xml:space="preserve">able </w:t>
      </w:r>
      <w:r>
        <w:rPr>
          <w:rFonts w:cs="Times New Roman" w:hint="eastAsia"/>
          <w:b/>
          <w:bCs/>
        </w:rPr>
        <w:t>S4 Fractional inhibitory concentration index (FICI) of enrofloxacin and colistin.</w:t>
      </w:r>
    </w:p>
    <w:tbl>
      <w:tblPr>
        <w:tblStyle w:val="TableTheme"/>
        <w:tblW w:w="8348" w:type="dxa"/>
        <w:jc w:val="center"/>
        <w:tblInd w:w="0" w:type="dxa"/>
        <w:tblLayout w:type="fixed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758"/>
        <w:gridCol w:w="1318"/>
        <w:gridCol w:w="1318"/>
        <w:gridCol w:w="1318"/>
        <w:gridCol w:w="1318"/>
        <w:gridCol w:w="1318"/>
      </w:tblGrid>
      <w:tr w:rsidR="005A089E" w14:paraId="52F67B2C" w14:textId="77777777">
        <w:trPr>
          <w:trHeight w:val="461"/>
          <w:jc w:val="center"/>
        </w:trPr>
        <w:tc>
          <w:tcPr>
            <w:tcW w:w="1758" w:type="dxa"/>
            <w:vMerge w:val="restart"/>
            <w:tcBorders>
              <w:top w:val="single" w:sz="4" w:space="0" w:color="auto"/>
              <w:left w:val="nil"/>
              <w:right w:val="nil"/>
            </w:tcBorders>
            <w:vAlign w:val="center"/>
          </w:tcPr>
          <w:p w14:paraId="5E4B28C0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Strains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672831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 xml:space="preserve">MIC of ENR </w:t>
            </w:r>
            <w:r>
              <w:rPr>
                <w:rFonts w:cs="Times New Roman"/>
                <w:spacing w:val="0"/>
                <w:kern w:val="0"/>
              </w:rPr>
              <w:t>(µg/mL)</w:t>
            </w:r>
          </w:p>
        </w:tc>
        <w:tc>
          <w:tcPr>
            <w:tcW w:w="2636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047D9C7F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 xml:space="preserve">MIC of </w:t>
            </w:r>
            <w:r>
              <w:rPr>
                <w:rFonts w:cs="Times New Roman"/>
                <w:spacing w:val="0"/>
                <w:kern w:val="0"/>
              </w:rPr>
              <w:t>Col</w:t>
            </w:r>
            <w:r>
              <w:rPr>
                <w:rFonts w:cs="Times New Roman"/>
                <w:spacing w:val="0"/>
                <w:kern w:val="0"/>
              </w:rPr>
              <w:t xml:space="preserve"> (µg/mL)</w:t>
            </w:r>
          </w:p>
        </w:tc>
        <w:tc>
          <w:tcPr>
            <w:tcW w:w="1318" w:type="dxa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1E96C8E" w14:textId="77777777" w:rsidR="005A089E" w:rsidRDefault="005A089E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</w:p>
        </w:tc>
      </w:tr>
      <w:tr w:rsidR="005A089E" w14:paraId="41C9A4D2" w14:textId="77777777">
        <w:trPr>
          <w:trHeight w:val="461"/>
          <w:jc w:val="center"/>
        </w:trPr>
        <w:tc>
          <w:tcPr>
            <w:tcW w:w="1758" w:type="dxa"/>
            <w:vMerge/>
            <w:tcBorders>
              <w:left w:val="nil"/>
              <w:bottom w:val="single" w:sz="4" w:space="0" w:color="auto"/>
              <w:right w:val="nil"/>
            </w:tcBorders>
            <w:vAlign w:val="center"/>
          </w:tcPr>
          <w:p w14:paraId="54E01CED" w14:textId="77777777" w:rsidR="005A089E" w:rsidRDefault="005A089E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4C2970D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Alone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2829973B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Combination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5E9B6D2D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Alone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0BB840C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Combination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699B53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FICI</w:t>
            </w:r>
          </w:p>
        </w:tc>
      </w:tr>
      <w:tr w:rsidR="005A089E" w14:paraId="6E2DC3A2" w14:textId="77777777">
        <w:trPr>
          <w:trHeight w:val="504"/>
          <w:jc w:val="center"/>
        </w:trPr>
        <w:tc>
          <w:tcPr>
            <w:tcW w:w="8348" w:type="dxa"/>
            <w:gridSpan w:val="6"/>
            <w:tcBorders>
              <w:top w:val="single" w:sz="4" w:space="0" w:color="auto"/>
              <w:left w:val="nil"/>
              <w:bottom w:val="nil"/>
              <w:right w:val="nil"/>
            </w:tcBorders>
            <w:vAlign w:val="center"/>
          </w:tcPr>
          <w:p w14:paraId="6FC4DBB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i/>
                <w:iCs/>
                <w:spacing w:val="0"/>
                <w:kern w:val="0"/>
              </w:rPr>
              <w:t>Klebsiella pne</w:t>
            </w:r>
            <w:r>
              <w:rPr>
                <w:rFonts w:cs="Times New Roman" w:hint="eastAsia"/>
                <w:i/>
                <w:iCs/>
                <w:spacing w:val="0"/>
                <w:kern w:val="0"/>
              </w:rPr>
              <w:t>u</w:t>
            </w:r>
            <w:r>
              <w:rPr>
                <w:rFonts w:cs="Times New Roman"/>
                <w:i/>
                <w:iCs/>
                <w:spacing w:val="0"/>
                <w:kern w:val="0"/>
              </w:rPr>
              <w:t>moniae</w:t>
            </w:r>
          </w:p>
        </w:tc>
      </w:tr>
      <w:tr w:rsidR="005A089E" w14:paraId="6B2F6BB5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CB71B0E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WNX-1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795D601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256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A3FD02F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D22838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01C8D77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0.06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26BC348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0.1225</w:t>
            </w:r>
          </w:p>
        </w:tc>
      </w:tr>
      <w:tr w:rsidR="005A089E" w14:paraId="69314F3A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3F4B2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37-1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B0F008A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128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94B0F5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55868A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172650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0.25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259E29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0.3125</w:t>
            </w:r>
          </w:p>
        </w:tc>
      </w:tr>
      <w:tr w:rsidR="005A089E" w14:paraId="0C8097E7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3B9571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29-1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84EB9DE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128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3D2915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85DBD49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F3344E8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0.25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73247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0.1875</w:t>
            </w:r>
          </w:p>
        </w:tc>
      </w:tr>
      <w:tr w:rsidR="005A089E" w14:paraId="445D11D8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501EAF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25-2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8B5E807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128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593472F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1EAC78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9CB3BA2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0.25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4BB66A2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0.1875</w:t>
            </w:r>
          </w:p>
        </w:tc>
      </w:tr>
      <w:tr w:rsidR="005A089E" w14:paraId="41A0A2F1" w14:textId="77777777">
        <w:trPr>
          <w:trHeight w:val="504"/>
          <w:jc w:val="center"/>
        </w:trPr>
        <w:tc>
          <w:tcPr>
            <w:tcW w:w="834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1825FC3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i/>
                <w:iCs/>
                <w:spacing w:val="0"/>
                <w:kern w:val="0"/>
              </w:rPr>
              <w:t xml:space="preserve">Escherichia coli </w:t>
            </w:r>
          </w:p>
        </w:tc>
      </w:tr>
      <w:tr w:rsidR="005A089E" w14:paraId="6523B611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A97CEFE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OF B2 D19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CECBF24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1024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16D8BE3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128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29C6C11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EA9189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0.25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2DDE194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0.1875</w:t>
            </w:r>
          </w:p>
        </w:tc>
      </w:tr>
      <w:tr w:rsidR="005A089E" w14:paraId="6E2A1809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60C9912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OF 25922 D38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C591AC9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256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165634B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99EF8A7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618A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EDC8D6A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0.1875</w:t>
            </w:r>
          </w:p>
        </w:tc>
      </w:tr>
      <w:tr w:rsidR="005A089E" w14:paraId="0AAF27F3" w14:textId="77777777">
        <w:trPr>
          <w:trHeight w:val="504"/>
          <w:jc w:val="center"/>
        </w:trPr>
        <w:tc>
          <w:tcPr>
            <w:tcW w:w="834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FE90D4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i/>
                <w:iCs/>
                <w:spacing w:val="0"/>
                <w:kern w:val="0"/>
              </w:rPr>
              <w:t>Actinobacillus pleuropneumoniae</w:t>
            </w:r>
          </w:p>
        </w:tc>
      </w:tr>
      <w:tr w:rsidR="005A089E" w14:paraId="1DCC1923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C9C4FDE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 xml:space="preserve">Hang </w:t>
            </w:r>
            <w:r>
              <w:rPr>
                <w:rFonts w:cs="Times New Roman"/>
                <w:spacing w:val="0"/>
                <w:kern w:val="0"/>
              </w:rPr>
              <w:t>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3B0F981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0.015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0751A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0.0009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A791281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1C7B13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0.5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54E62FFE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0.56</w:t>
            </w:r>
          </w:p>
        </w:tc>
      </w:tr>
      <w:tr w:rsidR="005A089E" w14:paraId="595E64C0" w14:textId="77777777">
        <w:trPr>
          <w:trHeight w:val="504"/>
          <w:jc w:val="center"/>
        </w:trPr>
        <w:tc>
          <w:tcPr>
            <w:tcW w:w="834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9ED22D7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i/>
                <w:iCs/>
                <w:spacing w:val="0"/>
                <w:kern w:val="0"/>
              </w:rPr>
              <w:t>Staphylococcus aureus</w:t>
            </w:r>
          </w:p>
        </w:tc>
      </w:tr>
      <w:tr w:rsidR="005A089E" w14:paraId="55644787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54C0101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T144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FCF4261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D3253DC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EC809D8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512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B2E851A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128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B503EB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0.75</w:t>
            </w:r>
          </w:p>
        </w:tc>
      </w:tr>
      <w:tr w:rsidR="005A089E" w14:paraId="706AE391" w14:textId="77777777">
        <w:trPr>
          <w:trHeight w:val="504"/>
          <w:jc w:val="center"/>
        </w:trPr>
        <w:tc>
          <w:tcPr>
            <w:tcW w:w="834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318FB3C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i/>
                <w:iCs/>
                <w:spacing w:val="0"/>
                <w:kern w:val="0"/>
              </w:rPr>
              <w:t>Salmonella</w:t>
            </w:r>
          </w:p>
        </w:tc>
      </w:tr>
      <w:tr w:rsidR="005A089E" w14:paraId="68AA24B0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4FA9296A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80048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7A69C1B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256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3DBF6E0F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32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73EDFC67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BF8FC2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0.06</w:t>
            </w:r>
          </w:p>
        </w:tc>
        <w:tc>
          <w:tcPr>
            <w:tcW w:w="1318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9EDF3AD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0.185</w:t>
            </w:r>
          </w:p>
        </w:tc>
      </w:tr>
      <w:tr w:rsidR="005A089E" w14:paraId="7435387E" w14:textId="77777777">
        <w:trPr>
          <w:trHeight w:val="504"/>
          <w:jc w:val="center"/>
        </w:trPr>
        <w:tc>
          <w:tcPr>
            <w:tcW w:w="8348" w:type="dxa"/>
            <w:gridSpan w:val="6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624E62E8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i/>
                <w:iCs/>
                <w:spacing w:val="0"/>
                <w:kern w:val="0"/>
              </w:rPr>
              <w:t>Pasteurella multocida</w:t>
            </w:r>
          </w:p>
        </w:tc>
      </w:tr>
      <w:tr w:rsidR="005A089E" w14:paraId="09B5E6B7" w14:textId="77777777">
        <w:trPr>
          <w:trHeight w:val="504"/>
          <w:jc w:val="center"/>
        </w:trPr>
        <w:tc>
          <w:tcPr>
            <w:tcW w:w="175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38C52E4A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P32 D7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F8D91BD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32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51CFD16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4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42637E4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1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793B0C40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0.25</w:t>
            </w:r>
          </w:p>
        </w:tc>
        <w:tc>
          <w:tcPr>
            <w:tcW w:w="1318" w:type="dxa"/>
            <w:tcBorders>
              <w:top w:val="nil"/>
              <w:left w:val="nil"/>
              <w:bottom w:val="single" w:sz="4" w:space="0" w:color="auto"/>
              <w:right w:val="nil"/>
            </w:tcBorders>
            <w:vAlign w:val="center"/>
          </w:tcPr>
          <w:p w14:paraId="6951FF24" w14:textId="77777777" w:rsidR="005A089E" w:rsidRDefault="00B85039">
            <w:pPr>
              <w:widowControl/>
              <w:autoSpaceDE w:val="0"/>
              <w:autoSpaceDN w:val="0"/>
              <w:adjustRightInd w:val="0"/>
              <w:snapToGrid/>
              <w:spacing w:line="480" w:lineRule="auto"/>
              <w:ind w:firstLineChars="0" w:firstLine="0"/>
              <w:jc w:val="center"/>
              <w:rPr>
                <w:rFonts w:cs="Times New Roman"/>
                <w:spacing w:val="0"/>
                <w:kern w:val="0"/>
              </w:rPr>
            </w:pPr>
            <w:r>
              <w:rPr>
                <w:rFonts w:cs="Times New Roman"/>
                <w:spacing w:val="0"/>
                <w:kern w:val="0"/>
              </w:rPr>
              <w:t>0.375</w:t>
            </w:r>
          </w:p>
        </w:tc>
      </w:tr>
    </w:tbl>
    <w:p w14:paraId="2260BDC5" w14:textId="77777777" w:rsidR="005A089E" w:rsidRDefault="005A089E">
      <w:pPr>
        <w:spacing w:line="480" w:lineRule="auto"/>
        <w:ind w:firstLineChars="0" w:firstLine="0"/>
        <w:rPr>
          <w:rFonts w:cs="Times New Roman"/>
        </w:rPr>
      </w:pPr>
    </w:p>
    <w:p w14:paraId="745CE663" w14:textId="77777777" w:rsidR="005A089E" w:rsidRDefault="00B85039">
      <w:pPr>
        <w:ind w:firstLine="398"/>
        <w:rPr>
          <w:rFonts w:cs="Times New Roman"/>
          <w:b/>
          <w:bCs/>
        </w:rPr>
      </w:pPr>
      <w:r>
        <w:rPr>
          <w:rFonts w:cs="Times New Roman"/>
          <w:b/>
          <w:bCs/>
        </w:rPr>
        <w:br w:type="page"/>
      </w:r>
    </w:p>
    <w:p w14:paraId="2AFF4A2B" w14:textId="77777777" w:rsidR="005A089E" w:rsidRDefault="00B85039">
      <w:pPr>
        <w:spacing w:line="480" w:lineRule="auto"/>
        <w:ind w:firstLineChars="0" w:firstLine="0"/>
        <w:jc w:val="left"/>
        <w:rPr>
          <w:rFonts w:cs="Times New Roman"/>
        </w:rPr>
      </w:pPr>
      <w:r>
        <w:rPr>
          <w:rFonts w:cs="Times New Roman"/>
          <w:b/>
          <w:bCs/>
        </w:rPr>
        <w:lastRenderedPageBreak/>
        <w:t xml:space="preserve">Table </w:t>
      </w:r>
      <w:r>
        <w:rPr>
          <w:rFonts w:cs="Times New Roman" w:hint="eastAsia"/>
          <w:b/>
          <w:bCs/>
        </w:rPr>
        <w:t>S5</w:t>
      </w:r>
      <w:r>
        <w:rPr>
          <w:rFonts w:cs="Times New Roman"/>
        </w:rPr>
        <w:t xml:space="preserve"> Crystallization in accelerated stability test at 4℃</w:t>
      </w:r>
    </w:p>
    <w:tbl>
      <w:tblPr>
        <w:tblStyle w:val="TableGrid"/>
        <w:tblW w:w="0" w:type="auto"/>
        <w:tblInd w:w="0" w:type="dxa"/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426"/>
        <w:gridCol w:w="1352"/>
        <w:gridCol w:w="1376"/>
        <w:gridCol w:w="1376"/>
        <w:gridCol w:w="1376"/>
        <w:gridCol w:w="1400"/>
      </w:tblGrid>
      <w:tr w:rsidR="005A089E" w14:paraId="6B0D459D" w14:textId="77777777"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ECD242C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Group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3EF16993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0d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4E6C1214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30d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22FE75C4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60d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16F89448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90d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</w:tcPr>
          <w:p w14:paraId="595D4AD9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180d</w:t>
            </w:r>
          </w:p>
        </w:tc>
      </w:tr>
      <w:tr w:rsidR="005A089E" w14:paraId="5833CFBD" w14:textId="77777777">
        <w:tc>
          <w:tcPr>
            <w:tcW w:w="1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7348F9E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1</w:t>
            </w:r>
          </w:p>
        </w:tc>
        <w:tc>
          <w:tcPr>
            <w:tcW w:w="1641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36769CB5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7F668C6A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1C25B559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6DAACE1A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＋＋＋</w:t>
            </w:r>
          </w:p>
        </w:tc>
        <w:tc>
          <w:tcPr>
            <w:tcW w:w="1642" w:type="dxa"/>
            <w:tcBorders>
              <w:top w:val="single" w:sz="4" w:space="0" w:color="auto"/>
              <w:left w:val="nil"/>
              <w:bottom w:val="nil"/>
              <w:right w:val="nil"/>
            </w:tcBorders>
          </w:tcPr>
          <w:p w14:paraId="4CB1B32E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＋＋＋</w:t>
            </w:r>
          </w:p>
        </w:tc>
      </w:tr>
      <w:tr w:rsidR="005A089E" w14:paraId="4BF9C284" w14:textId="77777777"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56B5724E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2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09EF02B7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3147DAEE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2CA6BBFF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1386EFD2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3AAAF806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＋＋＋</w:t>
            </w:r>
          </w:p>
        </w:tc>
      </w:tr>
      <w:tr w:rsidR="005A089E" w14:paraId="580593E2" w14:textId="77777777"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47A80E9B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3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1545232F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18637182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3A063AE1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1C0D9B7D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5112C467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＋＋＋</w:t>
            </w:r>
          </w:p>
        </w:tc>
      </w:tr>
      <w:tr w:rsidR="005A089E" w14:paraId="0388D09A" w14:textId="77777777"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69073797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4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54EC8AAC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1190DB21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7D333104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2FEC50DA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17E69257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＋＋＋</w:t>
            </w:r>
          </w:p>
        </w:tc>
      </w:tr>
      <w:tr w:rsidR="005A089E" w14:paraId="5A6B9A25" w14:textId="77777777"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32B751E1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5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3DCCE57A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788C50C2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3A0321B5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2530E0B7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5F299CA7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＋＋＋</w:t>
            </w:r>
          </w:p>
        </w:tc>
      </w:tr>
      <w:tr w:rsidR="005A089E" w14:paraId="51F6C17D" w14:textId="77777777"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6D05515C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6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000F210D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5F738F1E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6F464FDB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777289DA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001F75CC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</w:tr>
      <w:tr w:rsidR="005A089E" w14:paraId="5C860F18" w14:textId="77777777"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0269C2F7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7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2E692478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12A8E5EB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74891613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4A20CF76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67C3C5BF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</w:tr>
      <w:tr w:rsidR="005A089E" w14:paraId="4411D22A" w14:textId="77777777"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1DFDFC57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8</w:t>
            </w:r>
          </w:p>
        </w:tc>
        <w:tc>
          <w:tcPr>
            <w:tcW w:w="1641" w:type="dxa"/>
            <w:tcBorders>
              <w:top w:val="nil"/>
              <w:left w:val="nil"/>
              <w:bottom w:val="nil"/>
              <w:right w:val="nil"/>
            </w:tcBorders>
          </w:tcPr>
          <w:p w14:paraId="33C6494F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58F71BE9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1AF6AD09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0459019F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</w:t>
            </w:r>
          </w:p>
        </w:tc>
        <w:tc>
          <w:tcPr>
            <w:tcW w:w="1642" w:type="dxa"/>
            <w:tcBorders>
              <w:top w:val="nil"/>
              <w:left w:val="nil"/>
              <w:bottom w:val="nil"/>
              <w:right w:val="nil"/>
            </w:tcBorders>
          </w:tcPr>
          <w:p w14:paraId="659FF1F3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＋＋＋</w:t>
            </w:r>
          </w:p>
        </w:tc>
      </w:tr>
      <w:tr w:rsidR="005A089E" w14:paraId="6D6AE328" w14:textId="77777777"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AB87BC2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9</w:t>
            </w:r>
          </w:p>
        </w:tc>
        <w:tc>
          <w:tcPr>
            <w:tcW w:w="164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270ADE7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07CC241A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－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3D91C13A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BAEA85D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</w:t>
            </w:r>
          </w:p>
        </w:tc>
        <w:tc>
          <w:tcPr>
            <w:tcW w:w="1642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167DA68B" w14:textId="77777777" w:rsidR="005A089E" w:rsidRDefault="00B85039">
            <w:pPr>
              <w:spacing w:line="480" w:lineRule="auto"/>
              <w:ind w:firstLineChars="0" w:firstLine="0"/>
              <w:rPr>
                <w:rFonts w:cs="Times New Roman"/>
              </w:rPr>
            </w:pPr>
            <w:r>
              <w:rPr>
                <w:rFonts w:cs="Times New Roman"/>
              </w:rPr>
              <w:t>＋＋</w:t>
            </w:r>
          </w:p>
        </w:tc>
      </w:tr>
    </w:tbl>
    <w:p w14:paraId="38996C5E" w14:textId="77777777" w:rsidR="005A089E" w:rsidRDefault="00B85039">
      <w:pPr>
        <w:spacing w:line="480" w:lineRule="auto"/>
        <w:ind w:firstLineChars="0" w:firstLine="0"/>
        <w:rPr>
          <w:rFonts w:cs="Times New Roman"/>
        </w:rPr>
      </w:pPr>
      <w:r>
        <w:rPr>
          <w:rFonts w:cs="Times New Roman"/>
        </w:rPr>
        <w:t>−</w:t>
      </w:r>
      <w:r>
        <w:rPr>
          <w:rFonts w:cs="Times New Roman" w:hint="eastAsia"/>
        </w:rPr>
        <w:t xml:space="preserve">: No crystal </w:t>
      </w:r>
      <w:r>
        <w:rPr>
          <w:rFonts w:cs="Times New Roman" w:hint="eastAsia"/>
        </w:rPr>
        <w:t>precipitation observed; +: Minor crystal precipitation; ++: Moderate crystal precipitation; +++: Significant crystal precipitation.</w:t>
      </w:r>
    </w:p>
    <w:p w14:paraId="70DF2F48" w14:textId="77777777" w:rsidR="005A089E" w:rsidRDefault="00B85039">
      <w:pPr>
        <w:ind w:firstLine="398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br w:type="page"/>
      </w:r>
    </w:p>
    <w:p w14:paraId="3D25D4E4" w14:textId="77777777" w:rsidR="005A089E" w:rsidRDefault="00B85039">
      <w:pPr>
        <w:spacing w:line="480" w:lineRule="auto"/>
        <w:ind w:firstLineChars="0" w:firstLine="0"/>
        <w:rPr>
          <w:rFonts w:cs="Times New Roman"/>
          <w:b/>
          <w:bCs/>
        </w:rPr>
      </w:pPr>
      <w:r>
        <w:rPr>
          <w:rFonts w:cs="Times New Roman" w:hint="eastAsia"/>
          <w:b/>
          <w:bCs/>
        </w:rPr>
        <w:lastRenderedPageBreak/>
        <w:t xml:space="preserve">Table S6 </w:t>
      </w:r>
      <w:r>
        <w:rPr>
          <w:rFonts w:cs="Times New Roman"/>
        </w:rPr>
        <w:t xml:space="preserve">content of </w:t>
      </w:r>
      <w:r>
        <w:rPr>
          <w:rFonts w:cs="Times New Roman" w:hint="eastAsia"/>
        </w:rPr>
        <w:t xml:space="preserve">colistin and </w:t>
      </w:r>
      <w:r>
        <w:rPr>
          <w:rFonts w:cs="Times New Roman"/>
        </w:rPr>
        <w:t>enroxacin</w:t>
      </w:r>
    </w:p>
    <w:tbl>
      <w:tblPr>
        <w:tblStyle w:val="TableGrid"/>
        <w:tblW w:w="0" w:type="auto"/>
        <w:tblInd w:w="0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top w:w="0" w:type="dxa"/>
          <w:left w:w="108" w:type="dxa"/>
          <w:bottom w:w="0" w:type="dxa"/>
          <w:right w:w="108" w:type="dxa"/>
        </w:tblCellMar>
        <w:tblLook w:val="04A0" w:firstRow="1" w:lastRow="0" w:firstColumn="1" w:lastColumn="0" w:noHBand="0" w:noVBand="1"/>
      </w:tblPr>
      <w:tblGrid>
        <w:gridCol w:w="1370"/>
        <w:gridCol w:w="1607"/>
        <w:gridCol w:w="1792"/>
        <w:gridCol w:w="1875"/>
        <w:gridCol w:w="1662"/>
      </w:tblGrid>
      <w:tr w:rsidR="005A089E" w14:paraId="478BDB6A" w14:textId="77777777">
        <w:tc>
          <w:tcPr>
            <w:tcW w:w="3041" w:type="dxa"/>
            <w:gridSpan w:val="2"/>
            <w:tcBorders>
              <w:top w:val="single" w:sz="4" w:space="0" w:color="auto"/>
            </w:tcBorders>
            <w:vAlign w:val="center"/>
          </w:tcPr>
          <w:p w14:paraId="6F6512DB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/>
              </w:rPr>
              <w:t>Storage conditions</w:t>
            </w:r>
          </w:p>
        </w:tc>
        <w:tc>
          <w:tcPr>
            <w:tcW w:w="5481" w:type="dxa"/>
            <w:gridSpan w:val="3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13914835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Content to labeling ratio</w:t>
            </w:r>
          </w:p>
        </w:tc>
      </w:tr>
      <w:tr w:rsidR="005A089E" w14:paraId="5BDEF4A6" w14:textId="77777777">
        <w:tc>
          <w:tcPr>
            <w:tcW w:w="1406" w:type="dxa"/>
            <w:tcBorders>
              <w:bottom w:val="single" w:sz="4" w:space="0" w:color="auto"/>
            </w:tcBorders>
            <w:vAlign w:val="center"/>
          </w:tcPr>
          <w:p w14:paraId="5B6D5A42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Time (month)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vAlign w:val="center"/>
          </w:tcPr>
          <w:p w14:paraId="0D2C6D45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T</w:t>
            </w:r>
            <w:r>
              <w:rPr>
                <w:rFonts w:cs="Times New Roman"/>
              </w:rPr>
              <w:t>emperature</w:t>
            </w:r>
            <w:r>
              <w:rPr>
                <w:rFonts w:cs="Times New Roman" w:hint="eastAsia"/>
              </w:rPr>
              <w:t xml:space="preserve"> (</w:t>
            </w:r>
            <w:r>
              <w:rPr>
                <w:rFonts w:cs="Times New Roman"/>
              </w:rPr>
              <w:t>℃</w:t>
            </w:r>
            <w:r>
              <w:rPr>
                <w:rFonts w:cs="Times New Roman" w:hint="eastAsia"/>
              </w:rPr>
              <w:t>)</w:t>
            </w:r>
          </w:p>
        </w:tc>
        <w:tc>
          <w:tcPr>
            <w:tcW w:w="1844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7C68BAFE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E2 (IU/mL)</w:t>
            </w:r>
          </w:p>
        </w:tc>
        <w:tc>
          <w:tcPr>
            <w:tcW w:w="1932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8DA94B0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E1 (IU/mL)</w:t>
            </w:r>
          </w:p>
        </w:tc>
        <w:tc>
          <w:tcPr>
            <w:tcW w:w="1705" w:type="dxa"/>
            <w:tcBorders>
              <w:top w:val="single" w:sz="4" w:space="0" w:color="auto"/>
              <w:bottom w:val="single" w:sz="4" w:space="0" w:color="auto"/>
            </w:tcBorders>
            <w:vAlign w:val="center"/>
          </w:tcPr>
          <w:p w14:paraId="54870BDD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ENR (</w:t>
            </w:r>
            <w:r>
              <w:rPr>
                <w:rFonts w:cs="Times New Roman"/>
              </w:rPr>
              <w:t>μ</w:t>
            </w:r>
            <w:r>
              <w:rPr>
                <w:rFonts w:cs="Times New Roman" w:hint="eastAsia"/>
              </w:rPr>
              <w:t>g/mL)</w:t>
            </w:r>
          </w:p>
        </w:tc>
      </w:tr>
      <w:tr w:rsidR="005A089E" w14:paraId="53566559" w14:textId="77777777">
        <w:tc>
          <w:tcPr>
            <w:tcW w:w="1406" w:type="dxa"/>
            <w:vAlign w:val="center"/>
          </w:tcPr>
          <w:p w14:paraId="135C7C91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10</w:t>
            </w:r>
          </w:p>
        </w:tc>
        <w:tc>
          <w:tcPr>
            <w:tcW w:w="1635" w:type="dxa"/>
            <w:vAlign w:val="center"/>
          </w:tcPr>
          <w:p w14:paraId="5E238E9B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30</w:t>
            </w:r>
          </w:p>
        </w:tc>
        <w:tc>
          <w:tcPr>
            <w:tcW w:w="1844" w:type="dxa"/>
            <w:vAlign w:val="center"/>
          </w:tcPr>
          <w:p w14:paraId="1522B889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218355.97</w:t>
            </w:r>
            <w:r>
              <w:rPr>
                <w:rFonts w:cs="Times New Roman"/>
              </w:rPr>
              <w:t xml:space="preserve"> ± </w:t>
            </w:r>
            <w:r>
              <w:rPr>
                <w:rFonts w:cs="Times New Roman" w:hint="eastAsia"/>
              </w:rPr>
              <w:t>7481.75 (87.34%)</w:t>
            </w:r>
          </w:p>
        </w:tc>
        <w:tc>
          <w:tcPr>
            <w:tcW w:w="1932" w:type="dxa"/>
            <w:vAlign w:val="center"/>
          </w:tcPr>
          <w:p w14:paraId="700E2CA5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225355.5</w:t>
            </w:r>
            <w:r>
              <w:rPr>
                <w:rFonts w:cs="Times New Roman"/>
              </w:rPr>
              <w:t xml:space="preserve"> ± </w:t>
            </w:r>
            <w:r>
              <w:rPr>
                <w:rFonts w:cs="Times New Roman" w:hint="eastAsia"/>
              </w:rPr>
              <w:t>118066.9 (90.14%)</w:t>
            </w:r>
          </w:p>
        </w:tc>
        <w:tc>
          <w:tcPr>
            <w:tcW w:w="1705" w:type="dxa"/>
            <w:vAlign w:val="center"/>
          </w:tcPr>
          <w:p w14:paraId="6AD39DB7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26.65</w:t>
            </w:r>
            <w:r>
              <w:rPr>
                <w:rFonts w:cs="Times New Roman"/>
              </w:rPr>
              <w:t xml:space="preserve"> ± </w:t>
            </w:r>
            <w:r>
              <w:rPr>
                <w:rFonts w:cs="Times New Roman" w:hint="eastAsia"/>
              </w:rPr>
              <w:t>1.72 (106.60%)</w:t>
            </w:r>
          </w:p>
        </w:tc>
      </w:tr>
      <w:tr w:rsidR="005A089E" w14:paraId="1F885793" w14:textId="77777777">
        <w:tc>
          <w:tcPr>
            <w:tcW w:w="1406" w:type="dxa"/>
            <w:tcBorders>
              <w:bottom w:val="single" w:sz="4" w:space="0" w:color="auto"/>
            </w:tcBorders>
            <w:vAlign w:val="center"/>
          </w:tcPr>
          <w:p w14:paraId="347AE884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10</w:t>
            </w:r>
          </w:p>
        </w:tc>
        <w:tc>
          <w:tcPr>
            <w:tcW w:w="1635" w:type="dxa"/>
            <w:tcBorders>
              <w:bottom w:val="single" w:sz="4" w:space="0" w:color="auto"/>
            </w:tcBorders>
            <w:vAlign w:val="center"/>
          </w:tcPr>
          <w:p w14:paraId="6A36D9FB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4</w:t>
            </w:r>
          </w:p>
        </w:tc>
        <w:tc>
          <w:tcPr>
            <w:tcW w:w="1844" w:type="dxa"/>
            <w:tcBorders>
              <w:bottom w:val="single" w:sz="4" w:space="0" w:color="auto"/>
            </w:tcBorders>
            <w:vAlign w:val="center"/>
          </w:tcPr>
          <w:p w14:paraId="55555DB4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248544.61</w:t>
            </w:r>
            <w:r>
              <w:rPr>
                <w:rFonts w:cs="Times New Roman"/>
              </w:rPr>
              <w:t xml:space="preserve"> ± </w:t>
            </w:r>
            <w:r>
              <w:rPr>
                <w:rFonts w:cs="Times New Roman" w:hint="eastAsia"/>
              </w:rPr>
              <w:t>9102.77 (99.42%)</w:t>
            </w:r>
          </w:p>
        </w:tc>
        <w:tc>
          <w:tcPr>
            <w:tcW w:w="1932" w:type="dxa"/>
            <w:tcBorders>
              <w:bottom w:val="single" w:sz="4" w:space="0" w:color="auto"/>
            </w:tcBorders>
            <w:vAlign w:val="center"/>
          </w:tcPr>
          <w:p w14:paraId="46F8B555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241250.93</w:t>
            </w:r>
            <w:r>
              <w:rPr>
                <w:rFonts w:cs="Times New Roman"/>
              </w:rPr>
              <w:t xml:space="preserve"> ± </w:t>
            </w:r>
            <w:r>
              <w:rPr>
                <w:rFonts w:cs="Times New Roman" w:hint="eastAsia"/>
              </w:rPr>
              <w:t>1477.81 (96.50%)</w:t>
            </w:r>
          </w:p>
        </w:tc>
        <w:tc>
          <w:tcPr>
            <w:tcW w:w="1705" w:type="dxa"/>
            <w:tcBorders>
              <w:bottom w:val="single" w:sz="4" w:space="0" w:color="auto"/>
            </w:tcBorders>
            <w:vAlign w:val="center"/>
          </w:tcPr>
          <w:p w14:paraId="4E5149C8" w14:textId="77777777" w:rsidR="005A089E" w:rsidRDefault="00B85039">
            <w:pPr>
              <w:spacing w:line="480" w:lineRule="auto"/>
              <w:ind w:firstLineChars="0" w:firstLine="0"/>
              <w:jc w:val="center"/>
              <w:rPr>
                <w:rFonts w:cs="Times New Roman"/>
              </w:rPr>
            </w:pPr>
            <w:r>
              <w:rPr>
                <w:rFonts w:cs="Times New Roman" w:hint="eastAsia"/>
              </w:rPr>
              <w:t>26.08</w:t>
            </w:r>
            <w:r>
              <w:rPr>
                <w:rFonts w:cs="Times New Roman"/>
              </w:rPr>
              <w:t xml:space="preserve"> ± </w:t>
            </w:r>
            <w:r>
              <w:rPr>
                <w:rFonts w:cs="Times New Roman" w:hint="eastAsia"/>
              </w:rPr>
              <w:t>0.63 (104.32%)</w:t>
            </w:r>
          </w:p>
        </w:tc>
      </w:tr>
    </w:tbl>
    <w:p w14:paraId="4C9454AE" w14:textId="77777777" w:rsidR="005A089E" w:rsidRDefault="005A089E">
      <w:pPr>
        <w:spacing w:line="480" w:lineRule="auto"/>
        <w:ind w:firstLineChars="0" w:firstLine="0"/>
      </w:pPr>
    </w:p>
    <w:sectPr w:rsidR="005A089E">
      <w:footerReference w:type="even" r:id="rId10"/>
      <w:footerReference w:type="default" r:id="rId11"/>
      <w:footerReference w:type="first" r:id="rId1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379D7D5A" w14:textId="77777777" w:rsidR="005A089E" w:rsidRDefault="00B85039">
      <w:pPr>
        <w:spacing w:line="240" w:lineRule="auto"/>
        <w:ind w:firstLine="420"/>
      </w:pPr>
      <w:r>
        <w:separator/>
      </w:r>
    </w:p>
  </w:endnote>
  <w:endnote w:type="continuationSeparator" w:id="0">
    <w:p w14:paraId="0F7DBB69" w14:textId="77777777" w:rsidR="005A089E" w:rsidRDefault="00B85039">
      <w:pPr>
        <w:spacing w:line="240" w:lineRule="auto"/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imHei">
    <w:altName w:val="黑体"/>
    <w:panose1 w:val="02010600030101010101"/>
    <w:charset w:val="86"/>
    <w:family w:val="auto"/>
    <w:pitch w:val="default"/>
    <w:sig w:usb0="800002BF" w:usb1="38CF7CFA" w:usb2="00000016" w:usb3="00000000" w:csb0="00040001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ckwell">
    <w:panose1 w:val="02060603020205020403"/>
    <w:charset w:val="00"/>
    <w:family w:val="roman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DF10F48" w14:textId="34F66255" w:rsidR="00B85039" w:rsidRDefault="00B85039">
    <w:pPr>
      <w:pStyle w:val="Footer"/>
      <w:ind w:firstLine="420"/>
    </w:pPr>
    <w:r>
      <w:rPr>
        <w:noProof/>
      </w:rPr>
      <mc:AlternateContent>
        <mc:Choice Requires="wps">
          <w:drawing>
            <wp:anchor distT="0" distB="0" distL="0" distR="0" simplePos="0" relativeHeight="251659264" behindDoc="0" locked="0" layoutInCell="1" allowOverlap="1" wp14:anchorId="6B271511" wp14:editId="5C0816DC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157095" cy="391795"/>
              <wp:effectExtent l="0" t="0" r="14605" b="0"/>
              <wp:wrapNone/>
              <wp:docPr id="274156515" name="Text Box 2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09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31E62266" w14:textId="64C263B7" w:rsidR="00B85039" w:rsidRPr="00B85039" w:rsidRDefault="00B85039" w:rsidP="00B85039">
                          <w:pPr>
                            <w:ind w:firstLine="336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8503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271511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alt="Information Classification: General" style="position:absolute;left:0;text-align:left;margin-left:0;margin-top:0;width:169.85pt;height:30.85pt;z-index:251659264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" filled="f" stroked="f">
              <v:fill o:detectmouseclick="t"/>
              <v:textbox style="mso-fit-shape-to-text:t" inset="20pt,0,0,15pt">
                <w:txbxContent>
                  <w:p w14:paraId="31E62266" w14:textId="64C263B7" w:rsidR="00B85039" w:rsidRPr="00B85039" w:rsidRDefault="00B85039" w:rsidP="00B85039">
                    <w:pPr>
                      <w:ind w:firstLine="336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8503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23310B6" w14:textId="6EFBA006" w:rsidR="00B85039" w:rsidRDefault="00B85039">
    <w:pPr>
      <w:pStyle w:val="Footer"/>
      <w:ind w:firstLine="420"/>
    </w:pPr>
    <w:r>
      <w:rPr>
        <w:noProof/>
      </w:rPr>
      <mc:AlternateContent>
        <mc:Choice Requires="wps">
          <w:drawing>
            <wp:anchor distT="0" distB="0" distL="0" distR="0" simplePos="0" relativeHeight="251660288" behindDoc="0" locked="0" layoutInCell="1" allowOverlap="1" wp14:anchorId="4636F30D" wp14:editId="5E9007EC">
              <wp:simplePos x="1144988" y="9907325"/>
              <wp:positionH relativeFrom="page">
                <wp:align>left</wp:align>
              </wp:positionH>
              <wp:positionV relativeFrom="page">
                <wp:align>bottom</wp:align>
              </wp:positionV>
              <wp:extent cx="2157095" cy="391795"/>
              <wp:effectExtent l="0" t="0" r="14605" b="0"/>
              <wp:wrapNone/>
              <wp:docPr id="523413217" name="Text Box 3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09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28608118" w14:textId="194535B6" w:rsidR="00B85039" w:rsidRPr="00B85039" w:rsidRDefault="00B85039" w:rsidP="00B85039">
                          <w:pPr>
                            <w:ind w:firstLine="336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8503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36F30D" id="_x0000_t202" coordsize="21600,21600" o:spt="202" path="m,l,21600r21600,l21600,xe">
              <v:stroke joinstyle="miter"/>
              <v:path gradientshapeok="t" o:connecttype="rect"/>
            </v:shapetype>
            <v:shape id="Text Box 3" o:spid="_x0000_s1027" type="#_x0000_t202" alt="Information Classification: General" style="position:absolute;left:0;text-align:left;margin-left:0;margin-top:0;width:169.85pt;height:30.85pt;z-index:251660288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" filled="f" stroked="f">
              <v:fill o:detectmouseclick="t"/>
              <v:textbox style="mso-fit-shape-to-text:t" inset="20pt,0,0,15pt">
                <w:txbxContent>
                  <w:p w14:paraId="28608118" w14:textId="194535B6" w:rsidR="00B85039" w:rsidRPr="00B85039" w:rsidRDefault="00B85039" w:rsidP="00B85039">
                    <w:pPr>
                      <w:ind w:firstLine="336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8503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216CD16" w14:textId="0D182C82" w:rsidR="00B85039" w:rsidRDefault="00B85039">
    <w:pPr>
      <w:pStyle w:val="Footer"/>
      <w:ind w:firstLine="420"/>
    </w:pPr>
    <w:r>
      <w:rPr>
        <w:noProof/>
      </w:rPr>
      <mc:AlternateContent>
        <mc:Choice Requires="wps">
          <w:drawing>
            <wp:anchor distT="0" distB="0" distL="0" distR="0" simplePos="0" relativeHeight="251658240" behindDoc="0" locked="0" layoutInCell="1" allowOverlap="1" wp14:anchorId="73702874" wp14:editId="656F7F76">
              <wp:simplePos x="635" y="635"/>
              <wp:positionH relativeFrom="page">
                <wp:align>left</wp:align>
              </wp:positionH>
              <wp:positionV relativeFrom="page">
                <wp:align>bottom</wp:align>
              </wp:positionV>
              <wp:extent cx="2157095" cy="391795"/>
              <wp:effectExtent l="0" t="0" r="14605" b="0"/>
              <wp:wrapNone/>
              <wp:docPr id="2070503580" name="Text Box 1" descr="Information Classification: General">
                <a:extLst xmlns:a="http://schemas.openxmlformats.org/drawingml/2006/main">
                  <a:ext uri="{5AE41FA2-C0FF-4470-9BD4-5FADCA87CBE2}">
                    <aclsh:classification xmlns:aclsh="http://schemas.microsoft.com/office/drawing/2020/classificationShape" classificationOutcomeType="ftr"/>
                  </a:ext>
                </a:extLst>
              </wp:docPr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2157095" cy="39179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14:paraId="78254B08" w14:textId="49BC5A95" w:rsidR="00B85039" w:rsidRPr="00B85039" w:rsidRDefault="00B85039" w:rsidP="00B85039">
                          <w:pPr>
                            <w:ind w:firstLine="336"/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</w:pPr>
                          <w:r w:rsidRPr="00B85039">
                            <w:rPr>
                              <w:rFonts w:ascii="Rockwell" w:eastAsia="Rockwell" w:hAnsi="Rockwell" w:cs="Rockwell"/>
                              <w:noProof/>
                              <w:color w:val="0078D7"/>
                              <w:sz w:val="18"/>
                              <w:szCs w:val="18"/>
                            </w:rPr>
                            <w:t>Information Classification: General</w:t>
                          </w:r>
                        </w:p>
                      </w:txbxContent>
                    </wps:txbx>
                    <wps:bodyPr rot="0" spcFirstLastPara="0" vertOverflow="overflow" horzOverflow="overflow" vert="horz" wrap="none" lIns="254000" tIns="0" rIns="0" bIns="190500" numCol="1" spcCol="0" rtlCol="0" fromWordArt="0" anchor="b" anchorCtr="0" forceAA="0" compatLnSpc="1">
                      <a:prstTxWarp prst="textNoShape">
                        <a:avLst/>
                      </a:prstTxWarp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3702874" id="_x0000_t202" coordsize="21600,21600" o:spt="202" path="m,l,21600r21600,l21600,xe">
              <v:stroke joinstyle="miter"/>
              <v:path gradientshapeok="t" o:connecttype="rect"/>
            </v:shapetype>
            <v:shape id="Text Box 1" o:spid="_x0000_s1028" type="#_x0000_t202" alt="Information Classification: General" style="position:absolute;left:0;text-align:left;margin-left:0;margin-top:0;width:169.85pt;height:30.85pt;z-index:251658240;visibility:visible;mso-wrap-style:none;mso-wrap-distance-left:0;mso-wrap-distance-top:0;mso-wrap-distance-right:0;mso-wrap-distance-bottom:0;mso-position-horizontal:left;mso-position-horizontal-relative:page;mso-position-vertical:bottom;mso-position-vertical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" filled="f" stroked="f">
              <v:fill o:detectmouseclick="t"/>
              <v:textbox style="mso-fit-shape-to-text:t" inset="20pt,0,0,15pt">
                <w:txbxContent>
                  <w:p w14:paraId="78254B08" w14:textId="49BC5A95" w:rsidR="00B85039" w:rsidRPr="00B85039" w:rsidRDefault="00B85039" w:rsidP="00B85039">
                    <w:pPr>
                      <w:ind w:firstLine="336"/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</w:pPr>
                    <w:r w:rsidRPr="00B85039">
                      <w:rPr>
                        <w:rFonts w:ascii="Rockwell" w:eastAsia="Rockwell" w:hAnsi="Rockwell" w:cs="Rockwell"/>
                        <w:noProof/>
                        <w:color w:val="0078D7"/>
                        <w:sz w:val="18"/>
                        <w:szCs w:val="18"/>
                      </w:rPr>
                      <w:t>Information Classification: General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1C9B8512" w14:textId="77777777" w:rsidR="005A089E" w:rsidRDefault="00B85039">
      <w:pPr>
        <w:ind w:firstLine="420"/>
      </w:pPr>
      <w:r>
        <w:separator/>
      </w:r>
    </w:p>
  </w:footnote>
  <w:footnote w:type="continuationSeparator" w:id="0">
    <w:p w14:paraId="3F7133F2" w14:textId="77777777" w:rsidR="005A089E" w:rsidRDefault="00B85039"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5FC7AA66"/>
    <w:multiLevelType w:val="multilevel"/>
    <w:tmpl w:val="5FC7AA66"/>
    <w:lvl w:ilvl="0">
      <w:start w:val="1"/>
      <w:numFmt w:val="chineseCounting"/>
      <w:suff w:val="nothing"/>
      <w:lvlText w:val="第%1章 "/>
      <w:lvlJc w:val="center"/>
      <w:pPr>
        <w:tabs>
          <w:tab w:val="left" w:pos="420"/>
        </w:tabs>
        <w:ind w:left="432" w:hanging="432"/>
      </w:pPr>
      <w:rPr>
        <w:rFonts w:ascii="Times New Roman" w:eastAsia="SimHei" w:hAnsi="Times New Roman" w:cs="SimSun" w:hint="eastAsia"/>
        <w:sz w:val="32"/>
      </w:rPr>
    </w:lvl>
    <w:lvl w:ilvl="1">
      <w:start w:val="1"/>
      <w:numFmt w:val="decimal"/>
      <w:isLgl/>
      <w:suff w:val="space"/>
      <w:lvlText w:val="%1.%2."/>
      <w:lvlJc w:val="left"/>
      <w:pPr>
        <w:tabs>
          <w:tab w:val="left" w:pos="420"/>
        </w:tabs>
        <w:ind w:left="575" w:hanging="575"/>
      </w:pPr>
      <w:rPr>
        <w:rFonts w:ascii="Times New Roman" w:eastAsia="SimSun" w:hAnsi="Times New Roman" w:cs="SimSun" w:hint="eastAsia"/>
        <w:sz w:val="28"/>
      </w:rPr>
    </w:lvl>
    <w:lvl w:ilvl="2">
      <w:start w:val="1"/>
      <w:numFmt w:val="decimal"/>
      <w:pStyle w:val="Heading3"/>
      <w:isLgl/>
      <w:suff w:val="space"/>
      <w:lvlText w:val="%1.%2.%3."/>
      <w:lvlJc w:val="left"/>
      <w:pPr>
        <w:tabs>
          <w:tab w:val="left" w:pos="420"/>
        </w:tabs>
        <w:ind w:left="573" w:hanging="573"/>
      </w:pPr>
      <w:rPr>
        <w:rFonts w:ascii="Times New Roman" w:eastAsia="SimSun" w:hAnsi="Times New Roman" w:cs="SimSun" w:hint="eastAsia"/>
      </w:rPr>
    </w:lvl>
    <w:lvl w:ilvl="3">
      <w:start w:val="1"/>
      <w:numFmt w:val="decimal"/>
      <w:pStyle w:val="Heading4"/>
      <w:isLgl/>
      <w:suff w:val="space"/>
      <w:lvlText w:val="%1.%2.%3.%4."/>
      <w:lvlJc w:val="left"/>
      <w:pPr>
        <w:tabs>
          <w:tab w:val="left" w:pos="420"/>
        </w:tabs>
        <w:ind w:left="864" w:hanging="864"/>
      </w:pPr>
      <w:rPr>
        <w:rFonts w:cs="Times New Roman" w:hint="eastAsia"/>
      </w:rPr>
    </w:lvl>
    <w:lvl w:ilvl="4">
      <w:start w:val="1"/>
      <w:numFmt w:val="decimal"/>
      <w:pStyle w:val="Heading5"/>
      <w:isLgl/>
      <w:suff w:val="space"/>
      <w:lvlText w:val="%1.%2.%3.%4.%5."/>
      <w:lvlJc w:val="left"/>
      <w:pPr>
        <w:tabs>
          <w:tab w:val="left" w:pos="0"/>
        </w:tabs>
        <w:ind w:left="1008" w:hanging="1008"/>
      </w:pPr>
      <w:rPr>
        <w:rFonts w:cs="Times New Roman" w:hint="eastAsia"/>
      </w:rPr>
    </w:lvl>
    <w:lvl w:ilvl="5">
      <w:start w:val="1"/>
      <w:numFmt w:val="decimal"/>
      <w:pStyle w:val="Heading6"/>
      <w:isLgl/>
      <w:lvlText w:val="%1.%2.%3.%4.%5.%6."/>
      <w:lvlJc w:val="left"/>
      <w:pPr>
        <w:ind w:left="1151" w:hanging="1151"/>
      </w:pPr>
      <w:rPr>
        <w:rFonts w:cs="Times New Roman" w:hint="eastAsia"/>
      </w:rPr>
    </w:lvl>
    <w:lvl w:ilvl="6">
      <w:start w:val="1"/>
      <w:numFmt w:val="decimal"/>
      <w:pStyle w:val="Heading7"/>
      <w:isLgl/>
      <w:lvlText w:val="%1.%2.%3.%4.%5.%6.%7."/>
      <w:lvlJc w:val="left"/>
      <w:pPr>
        <w:ind w:left="1296" w:hanging="1296"/>
      </w:pPr>
      <w:rPr>
        <w:rFonts w:cs="Times New Roman" w:hint="eastAsia"/>
      </w:rPr>
    </w:lvl>
    <w:lvl w:ilvl="7">
      <w:start w:val="1"/>
      <w:numFmt w:val="decimal"/>
      <w:pStyle w:val="Heading8"/>
      <w:isLgl/>
      <w:lvlText w:val="%1.%2.%3.%4.%5.%6.%7.%8."/>
      <w:lvlJc w:val="left"/>
      <w:pPr>
        <w:ind w:left="1440" w:hanging="1440"/>
      </w:pPr>
      <w:rPr>
        <w:rFonts w:cs="Times New Roman" w:hint="eastAsia"/>
      </w:rPr>
    </w:lvl>
    <w:lvl w:ilvl="8">
      <w:start w:val="1"/>
      <w:numFmt w:val="decimal"/>
      <w:pStyle w:val="Heading9"/>
      <w:isLgl/>
      <w:lvlText w:val="%1.%2.%3.%4.%5.%6.%7.%8.%9."/>
      <w:lvlJc w:val="left"/>
      <w:pPr>
        <w:ind w:left="1583" w:hanging="1583"/>
      </w:pPr>
      <w:rPr>
        <w:rFonts w:cs="Times New Roman" w:hint="eastAsia"/>
      </w:rPr>
    </w:lvl>
  </w:abstractNum>
  <w:num w:numId="1" w16cid:durableId="57154716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SystemFonts/>
  <w:defaultTabStop w:val="420"/>
  <w:drawingGridVerticalSpacing w:val="156"/>
  <w:noPunctuationKerning/>
  <w:characterSpacingControl w:val="compressPunctuation"/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A089E"/>
    <w:rsid w:val="005A089E"/>
    <w:rsid w:val="007F5F67"/>
    <w:rsid w:val="00B85039"/>
    <w:rsid w:val="014C5DD5"/>
    <w:rsid w:val="05E72ECC"/>
    <w:rsid w:val="09AD24C9"/>
    <w:rsid w:val="0C9A1A81"/>
    <w:rsid w:val="0DBF6485"/>
    <w:rsid w:val="0F6C03BE"/>
    <w:rsid w:val="1120009B"/>
    <w:rsid w:val="19C02793"/>
    <w:rsid w:val="1DBE77A0"/>
    <w:rsid w:val="1FA759F8"/>
    <w:rsid w:val="201A7FB9"/>
    <w:rsid w:val="224D1F0A"/>
    <w:rsid w:val="232A545C"/>
    <w:rsid w:val="2DEE4968"/>
    <w:rsid w:val="2F96119F"/>
    <w:rsid w:val="33203C6F"/>
    <w:rsid w:val="33DA462F"/>
    <w:rsid w:val="3A6924A2"/>
    <w:rsid w:val="3D19730C"/>
    <w:rsid w:val="4D0C3392"/>
    <w:rsid w:val="5133132A"/>
    <w:rsid w:val="531F3AF6"/>
    <w:rsid w:val="565050CC"/>
    <w:rsid w:val="59773E9C"/>
    <w:rsid w:val="5D30429C"/>
    <w:rsid w:val="65037515"/>
    <w:rsid w:val="6903032C"/>
    <w:rsid w:val="716455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7E8BFA16"/>
  <w15:docId w15:val="{6A6CBA1B-091A-4C06-B15A-8A2A85813F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SimSun" w:hAnsi="Times New Roman" w:cs="Times New Roman"/>
        <w:lang w:val="en-NZ" w:eastAsia="en-NZ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Default Paragraph Font" w:uiPriority="99" w:qFormat="1"/>
    <w:lsdException w:name="Subtitle" w:qFormat="1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 w:qFormat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Grid" w:qFormat="1"/>
    <w:lsdException w:name="Table Theme" w:semiHidden="1" w:unhideWhenUsed="1" w:qFormat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pPr>
      <w:widowControl w:val="0"/>
      <w:snapToGrid w:val="0"/>
      <w:spacing w:line="360" w:lineRule="auto"/>
      <w:ind w:firstLineChars="200" w:firstLine="560"/>
      <w:jc w:val="both"/>
    </w:pPr>
    <w:rPr>
      <w:rFonts w:cstheme="minorBidi"/>
      <w:spacing w:val="-6"/>
      <w:kern w:val="2"/>
      <w:sz w:val="21"/>
      <w:szCs w:val="21"/>
      <w:lang w:val="en-US" w:eastAsia="zh-CN"/>
    </w:rPr>
  </w:style>
  <w:style w:type="paragraph" w:styleId="Heading1">
    <w:name w:val="heading 1"/>
    <w:basedOn w:val="Normal"/>
    <w:next w:val="Normal"/>
    <w:qFormat/>
    <w:pPr>
      <w:keepNext/>
      <w:keepLines/>
      <w:spacing w:beforeLines="100" w:before="100" w:afterLines="100" w:after="100"/>
      <w:ind w:firstLineChars="0" w:firstLine="0"/>
      <w:jc w:val="left"/>
      <w:outlineLvl w:val="0"/>
    </w:pPr>
    <w:rPr>
      <w:rFonts w:ascii="Calibri" w:eastAsia="SimHei" w:hAnsi="Calibri" w:cs="Times New Roman"/>
      <w:b/>
      <w:kern w:val="44"/>
      <w:sz w:val="28"/>
      <w:szCs w:val="22"/>
    </w:rPr>
  </w:style>
  <w:style w:type="paragraph" w:styleId="Heading2">
    <w:name w:val="heading 2"/>
    <w:basedOn w:val="Normal"/>
    <w:next w:val="Normal"/>
    <w:link w:val="Heading2Char"/>
    <w:semiHidden/>
    <w:unhideWhenUsed/>
    <w:qFormat/>
    <w:pPr>
      <w:keepNext/>
      <w:keepLines/>
      <w:tabs>
        <w:tab w:val="left" w:pos="420"/>
      </w:tabs>
      <w:spacing w:before="240" w:after="240" w:line="400" w:lineRule="atLeast"/>
      <w:ind w:left="573" w:firstLineChars="0" w:firstLine="0"/>
      <w:jc w:val="left"/>
      <w:outlineLvl w:val="1"/>
    </w:pPr>
    <w:rPr>
      <w:b/>
      <w:bCs/>
      <w:sz w:val="28"/>
      <w:szCs w:val="32"/>
    </w:rPr>
  </w:style>
  <w:style w:type="paragraph" w:styleId="Heading3">
    <w:name w:val="heading 3"/>
    <w:basedOn w:val="Normal"/>
    <w:next w:val="Normal"/>
    <w:semiHidden/>
    <w:unhideWhenUsed/>
    <w:qFormat/>
    <w:pPr>
      <w:keepNext/>
      <w:keepLines/>
      <w:numPr>
        <w:ilvl w:val="2"/>
        <w:numId w:val="1"/>
      </w:numPr>
      <w:spacing w:before="260" w:after="260" w:line="413" w:lineRule="auto"/>
      <w:ind w:firstLineChars="0"/>
      <w:outlineLvl w:val="2"/>
    </w:pPr>
    <w:rPr>
      <w:rFonts w:cs="Times New Roman"/>
      <w:b/>
      <w:sz w:val="28"/>
      <w:szCs w:val="24"/>
    </w:rPr>
  </w:style>
  <w:style w:type="paragraph" w:styleId="Heading4">
    <w:name w:val="heading 4"/>
    <w:basedOn w:val="Normal"/>
    <w:next w:val="Normal"/>
    <w:semiHidden/>
    <w:unhideWhenUsed/>
    <w:qFormat/>
    <w:pPr>
      <w:keepNext/>
      <w:keepLines/>
      <w:numPr>
        <w:ilvl w:val="3"/>
        <w:numId w:val="1"/>
      </w:numPr>
      <w:spacing w:before="280" w:after="290" w:line="372" w:lineRule="auto"/>
      <w:ind w:firstLineChars="0"/>
      <w:outlineLvl w:val="3"/>
    </w:pPr>
    <w:rPr>
      <w:rFonts w:ascii="Arial" w:eastAsia="SimHei" w:hAnsi="Arial"/>
      <w:b/>
      <w:sz w:val="28"/>
    </w:rPr>
  </w:style>
  <w:style w:type="paragraph" w:styleId="Heading5">
    <w:name w:val="heading 5"/>
    <w:basedOn w:val="Normal"/>
    <w:next w:val="Normal"/>
    <w:semiHidden/>
    <w:unhideWhenUsed/>
    <w:qFormat/>
    <w:pPr>
      <w:keepNext/>
      <w:keepLines/>
      <w:numPr>
        <w:ilvl w:val="4"/>
        <w:numId w:val="1"/>
      </w:numPr>
      <w:spacing w:before="280" w:after="290" w:line="372" w:lineRule="auto"/>
      <w:ind w:firstLineChars="0"/>
      <w:outlineLvl w:val="4"/>
    </w:pPr>
    <w:rPr>
      <w:b/>
      <w:sz w:val="28"/>
    </w:rPr>
  </w:style>
  <w:style w:type="paragraph" w:styleId="Heading6">
    <w:name w:val="heading 6"/>
    <w:basedOn w:val="Normal"/>
    <w:next w:val="Normal"/>
    <w:semiHidden/>
    <w:unhideWhenUsed/>
    <w:qFormat/>
    <w:pPr>
      <w:keepNext/>
      <w:keepLines/>
      <w:numPr>
        <w:ilvl w:val="5"/>
        <w:numId w:val="1"/>
      </w:numPr>
      <w:spacing w:before="240" w:after="64" w:line="317" w:lineRule="auto"/>
      <w:ind w:firstLineChars="0"/>
      <w:outlineLvl w:val="5"/>
    </w:pPr>
    <w:rPr>
      <w:rFonts w:ascii="Arial" w:eastAsia="SimHei" w:hAnsi="Arial"/>
      <w:b/>
      <w:sz w:val="24"/>
    </w:rPr>
  </w:style>
  <w:style w:type="paragraph" w:styleId="Heading7">
    <w:name w:val="heading 7"/>
    <w:basedOn w:val="Normal"/>
    <w:next w:val="Normal"/>
    <w:semiHidden/>
    <w:unhideWhenUsed/>
    <w:qFormat/>
    <w:pPr>
      <w:keepNext/>
      <w:keepLines/>
      <w:numPr>
        <w:ilvl w:val="6"/>
        <w:numId w:val="1"/>
      </w:numPr>
      <w:spacing w:before="240" w:after="64" w:line="317" w:lineRule="auto"/>
      <w:ind w:firstLineChars="0"/>
      <w:outlineLvl w:val="6"/>
    </w:pPr>
    <w:rPr>
      <w:b/>
      <w:sz w:val="24"/>
    </w:rPr>
  </w:style>
  <w:style w:type="paragraph" w:styleId="Heading8">
    <w:name w:val="heading 8"/>
    <w:basedOn w:val="Normal"/>
    <w:next w:val="Normal"/>
    <w:semiHidden/>
    <w:unhideWhenUsed/>
    <w:qFormat/>
    <w:pPr>
      <w:keepNext/>
      <w:keepLines/>
      <w:numPr>
        <w:ilvl w:val="7"/>
        <w:numId w:val="1"/>
      </w:numPr>
      <w:spacing w:before="240" w:after="64" w:line="317" w:lineRule="auto"/>
      <w:ind w:firstLineChars="0"/>
      <w:outlineLvl w:val="7"/>
    </w:pPr>
    <w:rPr>
      <w:rFonts w:ascii="Arial" w:eastAsia="SimHei" w:hAnsi="Arial"/>
      <w:sz w:val="24"/>
    </w:rPr>
  </w:style>
  <w:style w:type="paragraph" w:styleId="Heading9">
    <w:name w:val="heading 9"/>
    <w:basedOn w:val="Normal"/>
    <w:next w:val="Normal"/>
    <w:semiHidden/>
    <w:unhideWhenUsed/>
    <w:qFormat/>
    <w:pPr>
      <w:keepNext/>
      <w:keepLines/>
      <w:numPr>
        <w:ilvl w:val="8"/>
        <w:numId w:val="1"/>
      </w:numPr>
      <w:spacing w:before="240" w:after="64" w:line="317" w:lineRule="auto"/>
      <w:ind w:firstLineChars="0"/>
      <w:outlineLvl w:val="8"/>
    </w:pPr>
    <w:rPr>
      <w:rFonts w:ascii="Arial" w:eastAsia="SimHei" w:hAnsi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qFormat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table" w:styleId="TableTheme">
    <w:name w:val="Table Theme"/>
    <w:qFormat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0" w:type="dxa"/>
        <w:bottom w:w="0" w:type="dxa"/>
        <w:right w:w="0" w:type="dxa"/>
      </w:tblCellMar>
    </w:tblPr>
  </w:style>
  <w:style w:type="character" w:customStyle="1" w:styleId="Heading2Char">
    <w:name w:val="Heading 2 Char"/>
    <w:basedOn w:val="DefaultParagraphFont"/>
    <w:link w:val="Heading2"/>
    <w:uiPriority w:val="9"/>
    <w:semiHidden/>
    <w:qFormat/>
    <w:rPr>
      <w:rFonts w:ascii="Times New Roman" w:eastAsia="SimSun" w:hAnsi="Times New Roman" w:cs="Times New Roman"/>
      <w:b/>
      <w:bCs/>
      <w:sz w:val="28"/>
      <w:szCs w:val="32"/>
    </w:rPr>
  </w:style>
  <w:style w:type="paragraph" w:styleId="Footer">
    <w:name w:val="footer"/>
    <w:basedOn w:val="Normal"/>
    <w:link w:val="FooterChar"/>
    <w:rsid w:val="00B85039"/>
    <w:pPr>
      <w:tabs>
        <w:tab w:val="center" w:pos="4513"/>
        <w:tab w:val="right" w:pos="9026"/>
      </w:tabs>
      <w:spacing w:line="240" w:lineRule="auto"/>
    </w:pPr>
  </w:style>
  <w:style w:type="character" w:customStyle="1" w:styleId="FooterChar">
    <w:name w:val="Footer Char"/>
    <w:basedOn w:val="DefaultParagraphFont"/>
    <w:link w:val="Footer"/>
    <w:rsid w:val="00B85039"/>
    <w:rPr>
      <w:rFonts w:cstheme="minorBidi"/>
      <w:spacing w:val="-6"/>
      <w:kern w:val="2"/>
      <w:sz w:val="21"/>
      <w:szCs w:val="21"/>
      <w:lang w:val="en-US"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tiff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8</Pages>
  <Words>464</Words>
  <Characters>2651</Characters>
  <Application>Microsoft Office Word</Application>
  <DocSecurity>0</DocSecurity>
  <Lines>22</Lines>
  <Paragraphs>6</Paragraphs>
  <ScaleCrop>false</ScaleCrop>
  <Company/>
  <LinksUpToDate>false</LinksUpToDate>
  <CharactersWithSpaces>3109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18701</dc:creator>
  <cp:lastModifiedBy>Pratt, Lucas</cp:lastModifiedBy>
  <cp:revision>2</cp:revision>
  <dcterms:created xsi:type="dcterms:W3CDTF">2025-09-03T20:46:00Z</dcterms:created>
  <dcterms:modified xsi:type="dcterms:W3CDTF">2025-09-03T20:46:00Z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741F7EBE735548329CC6F74C64CE3C67_13</vt:lpwstr>
  </property>
  <property fmtid="{D5CDD505-2E9C-101B-9397-08002B2CF9AE}" pid="4" name="KSOTemplateDocerSaveRecord">
    <vt:lpwstr>eyJoZGlkIjoiMjIwMTEwYjUzNDExYzQyMjhmODQzNDRmZjBmMWNmMWEiLCJ1c2VySWQiOiIzMjc0NzEyODEifQ==</vt:lpwstr>
  </property>
  <property fmtid="{D5CDD505-2E9C-101B-9397-08002B2CF9AE}" pid="5" name="ClassificationContentMarkingFooterShapeIds">
    <vt:lpwstr>7b69609c,10574be3,1f32a6e1</vt:lpwstr>
  </property>
  <property fmtid="{D5CDD505-2E9C-101B-9397-08002B2CF9AE}" pid="6" name="ClassificationContentMarkingFooterFontProps">
    <vt:lpwstr>#0078d7,9,Rockwell</vt:lpwstr>
  </property>
  <property fmtid="{D5CDD505-2E9C-101B-9397-08002B2CF9AE}" pid="7" name="ClassificationContentMarkingFooterText">
    <vt:lpwstr>Information Classification: General</vt:lpwstr>
  </property>
  <property fmtid="{D5CDD505-2E9C-101B-9397-08002B2CF9AE}" pid="8" name="MSIP_Label_2bbab825-a111-45e4-86a1-18cee0005896_Enabled">
    <vt:lpwstr>true</vt:lpwstr>
  </property>
  <property fmtid="{D5CDD505-2E9C-101B-9397-08002B2CF9AE}" pid="9" name="MSIP_Label_2bbab825-a111-45e4-86a1-18cee0005896_SetDate">
    <vt:lpwstr>2025-09-03T20:46:35Z</vt:lpwstr>
  </property>
  <property fmtid="{D5CDD505-2E9C-101B-9397-08002B2CF9AE}" pid="10" name="MSIP_Label_2bbab825-a111-45e4-86a1-18cee0005896_Method">
    <vt:lpwstr>Standard</vt:lpwstr>
  </property>
  <property fmtid="{D5CDD505-2E9C-101B-9397-08002B2CF9AE}" pid="11" name="MSIP_Label_2bbab825-a111-45e4-86a1-18cee0005896_Name">
    <vt:lpwstr>2bbab825-a111-45e4-86a1-18cee0005896</vt:lpwstr>
  </property>
  <property fmtid="{D5CDD505-2E9C-101B-9397-08002B2CF9AE}" pid="12" name="MSIP_Label_2bbab825-a111-45e4-86a1-18cee0005896_SiteId">
    <vt:lpwstr>2567d566-604c-408a-8a60-55d0dc9d9d6b</vt:lpwstr>
  </property>
  <property fmtid="{D5CDD505-2E9C-101B-9397-08002B2CF9AE}" pid="13" name="MSIP_Label_2bbab825-a111-45e4-86a1-18cee0005896_ActionId">
    <vt:lpwstr>ec8d5cc4-2672-4d0b-9def-10065dbd31ec</vt:lpwstr>
  </property>
  <property fmtid="{D5CDD505-2E9C-101B-9397-08002B2CF9AE}" pid="14" name="MSIP_Label_2bbab825-a111-45e4-86a1-18cee0005896_ContentBits">
    <vt:lpwstr>2</vt:lpwstr>
  </property>
  <property fmtid="{D5CDD505-2E9C-101B-9397-08002B2CF9AE}" pid="15" name="MSIP_Label_2bbab825-a111-45e4-86a1-18cee0005896_Tag">
    <vt:lpwstr>10, 3, 0, 1</vt:lpwstr>
  </property>
</Properties>
</file>