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7A4F">
      <w:pPr>
        <w:jc w:val="left"/>
        <w:rPr>
          <w:rFonts w:ascii="Times New Roman" w:hAnsi="Times New Roman" w:cs="Times New Roman"/>
        </w:rPr>
      </w:pPr>
      <w:r>
        <w:rPr>
          <w:rFonts w:hint="eastAsia" w:ascii="Times New Roman" w:hAnsi="Times New Roman" w:cs="Times New Roman"/>
        </w:rPr>
        <w:t>Table S1</w:t>
      </w:r>
      <w:bookmarkStart w:id="0" w:name="_GoBack"/>
      <w:bookmarkEnd w:id="0"/>
      <w:r>
        <w:rPr>
          <w:rFonts w:ascii="Times New Roman" w:hAnsi="Times New Roman" w:cs="Times New Roman"/>
        </w:rPr>
        <w:t>: Risk Factors for Falls Among Community-Dwelling Older Adults</w:t>
      </w:r>
    </w:p>
    <w:tbl>
      <w:tblPr>
        <w:tblStyle w:val="3"/>
        <w:tblW w:w="5000" w:type="pct"/>
        <w:tblCellSpacing w:w="15" w:type="dxa"/>
        <w:tblInd w:w="0" w:type="dxa"/>
        <w:tblLayout w:type="autofit"/>
        <w:tblCellMar>
          <w:top w:w="15" w:type="dxa"/>
          <w:left w:w="15" w:type="dxa"/>
          <w:bottom w:w="15" w:type="dxa"/>
          <w:right w:w="15" w:type="dxa"/>
        </w:tblCellMar>
      </w:tblPr>
      <w:tblGrid>
        <w:gridCol w:w="2377"/>
        <w:gridCol w:w="6019"/>
      </w:tblGrid>
      <w:tr w14:paraId="1AA95ACE">
        <w:tblPrEx>
          <w:tblCellMar>
            <w:top w:w="15" w:type="dxa"/>
            <w:left w:w="15" w:type="dxa"/>
            <w:bottom w:w="15" w:type="dxa"/>
            <w:right w:w="15" w:type="dxa"/>
          </w:tblCellMar>
        </w:tblPrEx>
        <w:trPr>
          <w:tblHeader/>
          <w:tblCellSpacing w:w="15" w:type="dxa"/>
        </w:trPr>
        <w:tc>
          <w:tcPr>
            <w:tcW w:w="1389" w:type="pct"/>
            <w:tcBorders>
              <w:top w:val="single" w:color="000000" w:sz="12" w:space="0"/>
              <w:bottom w:val="single" w:color="000000" w:sz="4" w:space="0"/>
              <w:tl2br w:val="nil"/>
            </w:tcBorders>
            <w:shd w:val="clear" w:color="auto" w:fill="FFFFFF"/>
            <w:vAlign w:val="center"/>
          </w:tcPr>
          <w:p w14:paraId="0C54DBC9">
            <w:pPr>
              <w:ind w:firstLine="420"/>
              <w:rPr>
                <w:rFonts w:ascii="Times New Roman" w:hAnsi="Times New Roman" w:cs="Times New Roman"/>
                <w:color w:val="000000"/>
              </w:rPr>
            </w:pPr>
            <w:r>
              <w:rPr>
                <w:rFonts w:ascii="Times New Roman" w:hAnsi="Times New Roman" w:cs="Times New Roman"/>
                <w:color w:val="000000"/>
              </w:rPr>
              <w:t>Category</w:t>
            </w:r>
          </w:p>
        </w:tc>
        <w:tc>
          <w:tcPr>
            <w:tcW w:w="3557" w:type="pct"/>
            <w:tcBorders>
              <w:top w:val="single" w:color="000000" w:sz="12" w:space="0"/>
              <w:bottom w:val="single" w:color="000000" w:sz="4" w:space="0"/>
            </w:tcBorders>
            <w:shd w:val="clear" w:color="auto" w:fill="FFFFFF"/>
            <w:vAlign w:val="center"/>
          </w:tcPr>
          <w:p w14:paraId="1ABE9E7C">
            <w:pPr>
              <w:ind w:firstLine="420"/>
              <w:rPr>
                <w:rFonts w:ascii="Times New Roman" w:hAnsi="Times New Roman" w:cs="Times New Roman"/>
                <w:color w:val="000000"/>
              </w:rPr>
            </w:pPr>
            <w:r>
              <w:rPr>
                <w:rFonts w:ascii="Times New Roman" w:hAnsi="Times New Roman" w:cs="Times New Roman"/>
                <w:color w:val="000000"/>
              </w:rPr>
              <w:t>Risk Factors</w:t>
            </w:r>
          </w:p>
        </w:tc>
      </w:tr>
      <w:tr w14:paraId="41224C56">
        <w:tblPrEx>
          <w:tblCellMar>
            <w:top w:w="15" w:type="dxa"/>
            <w:left w:w="15" w:type="dxa"/>
            <w:bottom w:w="15" w:type="dxa"/>
            <w:right w:w="15" w:type="dxa"/>
          </w:tblCellMar>
        </w:tblPrEx>
        <w:trPr>
          <w:tblCellSpacing w:w="15" w:type="dxa"/>
        </w:trPr>
        <w:tc>
          <w:tcPr>
            <w:tcW w:w="1389" w:type="pct"/>
            <w:tcBorders>
              <w:top w:val="single" w:color="000000" w:sz="4" w:space="0"/>
            </w:tcBorders>
            <w:shd w:val="clear" w:color="auto" w:fill="FFFFFF"/>
            <w:vAlign w:val="center"/>
          </w:tcPr>
          <w:p w14:paraId="599A4DAA">
            <w:pPr>
              <w:ind w:firstLine="420"/>
              <w:rPr>
                <w:rFonts w:ascii="Times New Roman" w:hAnsi="Times New Roman" w:cs="Times New Roman"/>
                <w:color w:val="000000"/>
              </w:rPr>
            </w:pPr>
            <w:r>
              <w:rPr>
                <w:rFonts w:ascii="Times New Roman" w:hAnsi="Times New Roman" w:cs="Times New Roman"/>
                <w:color w:val="000000"/>
              </w:rPr>
              <w:t>History of Falls</w:t>
            </w:r>
          </w:p>
        </w:tc>
        <w:tc>
          <w:tcPr>
            <w:tcW w:w="3557" w:type="pct"/>
            <w:tcBorders>
              <w:top w:val="single" w:color="000000" w:sz="4" w:space="0"/>
            </w:tcBorders>
            <w:shd w:val="clear" w:color="auto" w:fill="FFFFFF"/>
            <w:vAlign w:val="center"/>
          </w:tcPr>
          <w:p w14:paraId="7C3511E8">
            <w:pPr>
              <w:ind w:firstLine="420"/>
              <w:rPr>
                <w:rFonts w:ascii="Times New Roman" w:hAnsi="Times New Roman" w:cs="Times New Roman"/>
                <w:color w:val="000000"/>
              </w:rPr>
            </w:pPr>
            <w:r>
              <w:rPr>
                <w:rFonts w:ascii="Times New Roman" w:hAnsi="Times New Roman" w:cs="Times New Roman"/>
                <w:color w:val="000000"/>
              </w:rPr>
              <w:t>Includes the date, location, and time of falls; the patient's reported symptoms during the fall; use of assistive devices; and whether medical alert systems were in place.</w:t>
            </w:r>
          </w:p>
        </w:tc>
      </w:tr>
      <w:tr w14:paraId="5A7111FF">
        <w:tblPrEx>
          <w:tblCellMar>
            <w:top w:w="15" w:type="dxa"/>
            <w:left w:w="15" w:type="dxa"/>
            <w:bottom w:w="15" w:type="dxa"/>
            <w:right w:w="15" w:type="dxa"/>
          </w:tblCellMar>
        </w:tblPrEx>
        <w:trPr>
          <w:tblCellSpacing w:w="15" w:type="dxa"/>
        </w:trPr>
        <w:tc>
          <w:tcPr>
            <w:tcW w:w="1389" w:type="pct"/>
            <w:shd w:val="clear" w:color="auto" w:fill="FFFFFF"/>
            <w:vAlign w:val="center"/>
          </w:tcPr>
          <w:p w14:paraId="75E6B46C">
            <w:pPr>
              <w:ind w:firstLine="420"/>
              <w:rPr>
                <w:rFonts w:ascii="Times New Roman" w:hAnsi="Times New Roman" w:cs="Times New Roman"/>
                <w:color w:val="000000"/>
              </w:rPr>
            </w:pPr>
            <w:r>
              <w:rPr>
                <w:rFonts w:ascii="Times New Roman" w:hAnsi="Times New Roman" w:cs="Times New Roman"/>
                <w:color w:val="000000"/>
              </w:rPr>
              <w:t>Physiological Structure and Function</w:t>
            </w:r>
          </w:p>
        </w:tc>
        <w:tc>
          <w:tcPr>
            <w:tcW w:w="3557" w:type="pct"/>
            <w:shd w:val="clear" w:color="auto" w:fill="FFFFFF"/>
            <w:vAlign w:val="center"/>
          </w:tcPr>
          <w:p w14:paraId="79C1029F">
            <w:pPr>
              <w:ind w:firstLine="420"/>
              <w:rPr>
                <w:rFonts w:ascii="Times New Roman" w:hAnsi="Times New Roman" w:cs="Times New Roman"/>
                <w:color w:val="000000"/>
              </w:rPr>
            </w:pPr>
            <w:r>
              <w:rPr>
                <w:rFonts w:ascii="Times New Roman" w:hAnsi="Times New Roman" w:cs="Times New Roman"/>
                <w:color w:val="000000"/>
              </w:rPr>
              <w:t>Nutritional status, mobility and endurance; limitations in activities of daily living (ADL); gait, strength, and balance; ankle flexibility; plantar tactile sensitivity; flexion/extension strength of toe joints; presence of moderate to severe hallux valgus or toe deformities.</w:t>
            </w:r>
          </w:p>
        </w:tc>
      </w:tr>
      <w:tr w14:paraId="276E679F">
        <w:tblPrEx>
          <w:tblCellMar>
            <w:top w:w="15" w:type="dxa"/>
            <w:left w:w="15" w:type="dxa"/>
            <w:bottom w:w="15" w:type="dxa"/>
            <w:right w:w="15" w:type="dxa"/>
          </w:tblCellMar>
        </w:tblPrEx>
        <w:trPr>
          <w:tblCellSpacing w:w="15" w:type="dxa"/>
        </w:trPr>
        <w:tc>
          <w:tcPr>
            <w:tcW w:w="1389" w:type="pct"/>
            <w:shd w:val="clear" w:color="auto" w:fill="FFFFFF"/>
            <w:vAlign w:val="center"/>
          </w:tcPr>
          <w:p w14:paraId="2E7BF9B8">
            <w:pPr>
              <w:ind w:firstLine="420"/>
              <w:rPr>
                <w:rFonts w:ascii="Times New Roman" w:hAnsi="Times New Roman" w:cs="Times New Roman"/>
                <w:color w:val="000000"/>
              </w:rPr>
            </w:pPr>
            <w:r>
              <w:rPr>
                <w:rFonts w:ascii="Times New Roman" w:hAnsi="Times New Roman" w:cs="Times New Roman"/>
                <w:color w:val="000000"/>
              </w:rPr>
              <w:t>Comorbidities</w:t>
            </w:r>
          </w:p>
        </w:tc>
        <w:tc>
          <w:tcPr>
            <w:tcW w:w="3557" w:type="pct"/>
            <w:shd w:val="clear" w:color="auto" w:fill="FFFFFF"/>
            <w:vAlign w:val="center"/>
          </w:tcPr>
          <w:p w14:paraId="6092CCC9">
            <w:pPr>
              <w:ind w:firstLine="420"/>
              <w:rPr>
                <w:rFonts w:ascii="Times New Roman" w:hAnsi="Times New Roman" w:cs="Times New Roman"/>
                <w:color w:val="000000"/>
              </w:rPr>
            </w:pPr>
            <w:r>
              <w:rPr>
                <w:rFonts w:ascii="Times New Roman" w:hAnsi="Times New Roman" w:cs="Times New Roman"/>
                <w:color w:val="000000"/>
              </w:rPr>
              <w:t>Includes but is not limited to: arrhythmia, orthostatic hypotension, aortic valve stenosis, congestive heart failure, coronary artery disease, peripheral arterial disease, thromboembolic disorders, neurological diseases (e.g., cerebellar dysfunction, delirium, cognitive impairment, dementia, Parkinson’s disease, stroke, and vision disorders), as well as diabetes, hepatic encephalopathy, osteoporosis, sarcopenia, and arthritis.</w:t>
            </w:r>
          </w:p>
        </w:tc>
      </w:tr>
      <w:tr w14:paraId="195F16E6">
        <w:tblPrEx>
          <w:tblCellMar>
            <w:top w:w="15" w:type="dxa"/>
            <w:left w:w="15" w:type="dxa"/>
            <w:bottom w:w="15" w:type="dxa"/>
            <w:right w:w="15" w:type="dxa"/>
          </w:tblCellMar>
        </w:tblPrEx>
        <w:trPr>
          <w:tblCellSpacing w:w="15" w:type="dxa"/>
        </w:trPr>
        <w:tc>
          <w:tcPr>
            <w:tcW w:w="1389" w:type="pct"/>
            <w:shd w:val="clear" w:color="auto" w:fill="FFFFFF"/>
            <w:vAlign w:val="center"/>
          </w:tcPr>
          <w:p w14:paraId="54BA30A2">
            <w:pPr>
              <w:ind w:firstLine="420"/>
              <w:rPr>
                <w:rFonts w:ascii="Times New Roman" w:hAnsi="Times New Roman" w:cs="Times New Roman"/>
                <w:color w:val="000000"/>
              </w:rPr>
            </w:pPr>
            <w:r>
              <w:rPr>
                <w:rFonts w:ascii="Times New Roman" w:hAnsi="Times New Roman" w:cs="Times New Roman"/>
                <w:color w:val="000000"/>
              </w:rPr>
              <w:t>Medication-Related Factors</w:t>
            </w:r>
          </w:p>
        </w:tc>
        <w:tc>
          <w:tcPr>
            <w:tcW w:w="3557" w:type="pct"/>
            <w:shd w:val="clear" w:color="auto" w:fill="FFFFFF"/>
            <w:vAlign w:val="center"/>
          </w:tcPr>
          <w:p w14:paraId="2D11ADAB">
            <w:pPr>
              <w:ind w:firstLine="420"/>
              <w:rPr>
                <w:rFonts w:ascii="Times New Roman" w:hAnsi="Times New Roman" w:cs="Times New Roman"/>
                <w:color w:val="000000"/>
              </w:rPr>
            </w:pPr>
            <w:r>
              <w:rPr>
                <w:rFonts w:ascii="Times New Roman" w:hAnsi="Times New Roman" w:cs="Times New Roman"/>
                <w:color w:val="000000"/>
              </w:rPr>
              <w:t>Use of medications that may increase the risk of falls, particularly: ACE inhibitors, alpha-blockers, anticoagulants, anticonvulsants, antipsychotics, high-dose caffeine, and chemotherapy agents.</w:t>
            </w:r>
          </w:p>
        </w:tc>
      </w:tr>
      <w:tr w14:paraId="3C4DEDFD">
        <w:tblPrEx>
          <w:tblCellMar>
            <w:top w:w="15" w:type="dxa"/>
            <w:left w:w="15" w:type="dxa"/>
            <w:bottom w:w="15" w:type="dxa"/>
            <w:right w:w="15" w:type="dxa"/>
          </w:tblCellMar>
        </w:tblPrEx>
        <w:trPr>
          <w:tblCellSpacing w:w="15" w:type="dxa"/>
        </w:trPr>
        <w:tc>
          <w:tcPr>
            <w:tcW w:w="1389" w:type="pct"/>
            <w:shd w:val="clear" w:color="auto" w:fill="FFFFFF"/>
            <w:vAlign w:val="center"/>
          </w:tcPr>
          <w:p w14:paraId="56DD94C4">
            <w:pPr>
              <w:ind w:firstLine="420"/>
              <w:rPr>
                <w:rFonts w:ascii="Times New Roman" w:hAnsi="Times New Roman" w:cs="Times New Roman"/>
                <w:color w:val="000000"/>
              </w:rPr>
            </w:pPr>
            <w:r>
              <w:rPr>
                <w:rFonts w:ascii="Times New Roman" w:hAnsi="Times New Roman" w:cs="Times New Roman"/>
                <w:color w:val="000000"/>
              </w:rPr>
              <w:t>Personal Factors</w:t>
            </w:r>
          </w:p>
        </w:tc>
        <w:tc>
          <w:tcPr>
            <w:tcW w:w="3557" w:type="pct"/>
            <w:shd w:val="clear" w:color="auto" w:fill="FFFFFF"/>
            <w:vAlign w:val="center"/>
          </w:tcPr>
          <w:p w14:paraId="0520EDEC">
            <w:pPr>
              <w:ind w:firstLine="420"/>
              <w:rPr>
                <w:rFonts w:ascii="Times New Roman" w:hAnsi="Times New Roman" w:cs="Times New Roman"/>
                <w:color w:val="000000"/>
              </w:rPr>
            </w:pPr>
            <w:r>
              <w:rPr>
                <w:rFonts w:ascii="Times New Roman" w:hAnsi="Times New Roman" w:cs="Times New Roman"/>
                <w:color w:val="000000"/>
              </w:rPr>
              <w:t>Advanced age, living alone, and level of knowledge or awareness regarding fall prevention.</w:t>
            </w:r>
          </w:p>
        </w:tc>
      </w:tr>
      <w:tr w14:paraId="119A28FF">
        <w:tblPrEx>
          <w:tblCellMar>
            <w:top w:w="15" w:type="dxa"/>
            <w:left w:w="15" w:type="dxa"/>
            <w:bottom w:w="15" w:type="dxa"/>
            <w:right w:w="15" w:type="dxa"/>
          </w:tblCellMar>
        </w:tblPrEx>
        <w:trPr>
          <w:tblCellSpacing w:w="15" w:type="dxa"/>
        </w:trPr>
        <w:tc>
          <w:tcPr>
            <w:tcW w:w="1389" w:type="pct"/>
            <w:tcBorders>
              <w:bottom w:val="single" w:color="000000" w:sz="12" w:space="0"/>
            </w:tcBorders>
            <w:shd w:val="clear" w:color="auto" w:fill="FFFFFF"/>
            <w:vAlign w:val="center"/>
          </w:tcPr>
          <w:p w14:paraId="58E24826">
            <w:pPr>
              <w:ind w:firstLine="420"/>
              <w:rPr>
                <w:rFonts w:ascii="Times New Roman" w:hAnsi="Times New Roman" w:cs="Times New Roman"/>
                <w:color w:val="000000"/>
              </w:rPr>
            </w:pPr>
            <w:r>
              <w:rPr>
                <w:rFonts w:ascii="Times New Roman" w:hAnsi="Times New Roman" w:cs="Times New Roman"/>
                <w:color w:val="000000"/>
              </w:rPr>
              <w:t>Environmental Factors</w:t>
            </w:r>
          </w:p>
        </w:tc>
        <w:tc>
          <w:tcPr>
            <w:tcW w:w="3557" w:type="pct"/>
            <w:tcBorders>
              <w:bottom w:val="single" w:color="000000" w:sz="12" w:space="0"/>
            </w:tcBorders>
            <w:shd w:val="clear" w:color="auto" w:fill="FFFFFF"/>
            <w:vAlign w:val="center"/>
          </w:tcPr>
          <w:p w14:paraId="06FEE256">
            <w:pPr>
              <w:ind w:firstLine="420"/>
              <w:rPr>
                <w:rFonts w:ascii="Times New Roman" w:hAnsi="Times New Roman" w:cs="Times New Roman"/>
                <w:color w:val="000000"/>
              </w:rPr>
            </w:pPr>
            <w:r>
              <w:rPr>
                <w:rFonts w:ascii="Times New Roman" w:hAnsi="Times New Roman" w:cs="Times New Roman"/>
                <w:color w:val="000000"/>
              </w:rPr>
              <w:t>Presence of stairs without handrails or grab bars, poor lighting, slippery or uneven flooring, obstacles or clutter, and seasonal hazards.</w:t>
            </w:r>
          </w:p>
        </w:tc>
      </w:tr>
    </w:tbl>
    <w:p w14:paraId="3F4210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365D8"/>
    <w:rsid w:val="50A3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rPr>
      <w:sz w:val="20"/>
      <w:szCs w:val="20"/>
    </w:rPr>
  </w:style>
  <w:style w:type="character" w:styleId="5">
    <w:name w:val="annotation reference"/>
    <w:basedOn w:val="4"/>
    <w:uiPriority w:val="0"/>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2025-06-19T01:48:00Z</dcterms:created>
  <dc:creator>衎衎</dc:creator>
  <cp:lastModifiedBy>衎衎</cp:lastModifiedBy>
  <dcterms:modified xsi:type="dcterms:W3CDTF">2025-06-19T01:48:55Z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95BA4C12970E4EBABB8D9784B8438ADC_11</vt:lpwstr>
  </property>
  <property fmtid="{D5CDD505-2E9C-101B-9397-08002B2CF9AE}" pid="4" name="KSOTemplateDocerSaveRecord">
    <vt:lpwstr>eyJoZGlkIjoiNTU0ZmIwYTQ3NzlmZGUxZmU3Zjk0M2IyZTNmM2IxNjAiLCJ1c2VySWQiOiIzMDUxMDc5MzIifQ==</vt:lpwstr>
  </property>
</Properties>
</file>