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78C4A" w14:textId="77777777" w:rsidR="00E4261D" w:rsidRDefault="00B66E42">
      <w:r>
        <w:rPr>
          <w:rFonts w:ascii="Times New Roman" w:hAnsi="Times New Roman" w:cs="Times New Roman" w:hint="eastAsia"/>
          <w:noProof/>
          <w:color w:val="272727"/>
        </w:rPr>
        <w:drawing>
          <wp:inline distT="0" distB="0" distL="0" distR="0" wp14:anchorId="097F905D" wp14:editId="7DD206F7">
            <wp:extent cx="5270500" cy="7905750"/>
            <wp:effectExtent l="0" t="0" r="0" b="6350"/>
            <wp:docPr id="9" name="图片 9" descr="图片包含 卡车, 不同, 大, 田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0500" cy="7905750"/>
                    </a:xfrm>
                    <a:prstGeom prst="rect">
                      <a:avLst/>
                    </a:prstGeom>
                  </pic:spPr>
                </pic:pic>
              </a:graphicData>
            </a:graphic>
          </wp:inline>
        </w:drawing>
      </w:r>
    </w:p>
    <w:p w14:paraId="1ACE50B7" w14:textId="77777777" w:rsidR="00C5722B" w:rsidRDefault="00C5722B" w:rsidP="00C5722B">
      <w:pPr>
        <w:autoSpaceDE w:val="0"/>
        <w:autoSpaceDN w:val="0"/>
        <w:adjustRightInd w:val="0"/>
        <w:rPr>
          <w:rFonts w:ascii="Times New Roman" w:hAnsi="Times New Roman" w:cs="Times New Roman"/>
          <w:b/>
          <w:bCs/>
          <w:color w:val="272727"/>
          <w:szCs w:val="21"/>
        </w:rPr>
      </w:pPr>
    </w:p>
    <w:p w14:paraId="246DE214" w14:textId="6B544455" w:rsidR="00B66E42" w:rsidRPr="00C5722B" w:rsidRDefault="00B66E42" w:rsidP="00C5722B">
      <w:pPr>
        <w:autoSpaceDE w:val="0"/>
        <w:autoSpaceDN w:val="0"/>
        <w:adjustRightInd w:val="0"/>
        <w:rPr>
          <w:rFonts w:ascii="Times New Roman" w:hAnsi="Times New Roman" w:cs="Times New Roman"/>
          <w:color w:val="272727"/>
          <w:szCs w:val="21"/>
        </w:rPr>
      </w:pPr>
      <w:r w:rsidRPr="00C5722B">
        <w:rPr>
          <w:rFonts w:ascii="Times New Roman" w:hAnsi="Times New Roman" w:cs="Times New Roman" w:hint="eastAsia"/>
          <w:b/>
          <w:bCs/>
          <w:color w:val="272727"/>
          <w:szCs w:val="21"/>
        </w:rPr>
        <w:t>F</w:t>
      </w:r>
      <w:r w:rsidRPr="00C5722B">
        <w:rPr>
          <w:rFonts w:ascii="Times New Roman" w:hAnsi="Times New Roman" w:cs="Times New Roman"/>
          <w:b/>
          <w:bCs/>
          <w:color w:val="272727"/>
          <w:szCs w:val="21"/>
        </w:rPr>
        <w:t xml:space="preserve">igure </w:t>
      </w:r>
      <w:r w:rsidR="00C5722B" w:rsidRPr="00C5722B">
        <w:rPr>
          <w:rFonts w:ascii="Times New Roman" w:hAnsi="Times New Roman" w:cs="Times New Roman"/>
          <w:b/>
          <w:bCs/>
          <w:color w:val="272727"/>
          <w:szCs w:val="21"/>
        </w:rPr>
        <w:t>S</w:t>
      </w:r>
      <w:r w:rsidR="003D74DB" w:rsidRPr="00C5722B">
        <w:rPr>
          <w:rFonts w:ascii="Times New Roman" w:hAnsi="Times New Roman" w:cs="Times New Roman"/>
          <w:b/>
          <w:bCs/>
          <w:color w:val="272727"/>
          <w:szCs w:val="21"/>
        </w:rPr>
        <w:t>1</w:t>
      </w:r>
      <w:r w:rsidRPr="00C5722B">
        <w:rPr>
          <w:rFonts w:ascii="Times New Roman" w:hAnsi="Times New Roman" w:cs="Times New Roman"/>
          <w:b/>
          <w:bCs/>
          <w:color w:val="272727"/>
          <w:szCs w:val="21"/>
        </w:rPr>
        <w:t>. The colocalization map shows the relationship between six potential gene and the disease.</w:t>
      </w:r>
      <w:r w:rsidRPr="00C5722B">
        <w:rPr>
          <w:rFonts w:ascii="Times New Roman" w:hAnsi="Times New Roman" w:cs="Times New Roman"/>
          <w:color w:val="272727"/>
          <w:szCs w:val="21"/>
        </w:rPr>
        <w:t xml:space="preserve"> </w:t>
      </w:r>
      <w:r w:rsidRPr="00C5722B">
        <w:rPr>
          <w:rFonts w:ascii="Times New Roman" w:hAnsi="Times New Roman" w:cs="Times New Roman" w:hint="eastAsia"/>
          <w:color w:val="272727"/>
          <w:szCs w:val="21"/>
        </w:rPr>
        <w:t>(</w:t>
      </w:r>
      <w:r w:rsidRPr="00C5722B">
        <w:rPr>
          <w:rFonts w:ascii="Times New Roman" w:hAnsi="Times New Roman" w:cs="Times New Roman"/>
          <w:color w:val="272727"/>
          <w:szCs w:val="21"/>
        </w:rPr>
        <w:t>A) APOF with psoriasis. (B) ATP6V1G2 with psoriasis. (C) CRELD1 with psoriasis. (D) IFNLR1 with psoriasis. (E) PRSS8 with psoriasis. (F) TNF with psoriasis.</w:t>
      </w:r>
    </w:p>
    <w:p w14:paraId="3806A4E6" w14:textId="77777777" w:rsidR="00B66E42" w:rsidRDefault="00B66E42">
      <w:r>
        <w:rPr>
          <w:rFonts w:ascii="Times New Roman" w:hAnsi="Times New Roman" w:cs="Times New Roman"/>
          <w:noProof/>
          <w:color w:val="DA3133"/>
          <w:sz w:val="27"/>
          <w:szCs w:val="27"/>
        </w:rPr>
        <w:lastRenderedPageBreak/>
        <w:drawing>
          <wp:inline distT="0" distB="0" distL="0" distR="0" wp14:anchorId="7D6220FF" wp14:editId="3898CCCD">
            <wp:extent cx="5270500" cy="4984750"/>
            <wp:effectExtent l="0" t="0" r="0" b="6350"/>
            <wp:docPr id="5" name="图片 5"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4984750"/>
                    </a:xfrm>
                    <a:prstGeom prst="rect">
                      <a:avLst/>
                    </a:prstGeom>
                  </pic:spPr>
                </pic:pic>
              </a:graphicData>
            </a:graphic>
          </wp:inline>
        </w:drawing>
      </w:r>
    </w:p>
    <w:p w14:paraId="71F0D49B" w14:textId="77777777" w:rsidR="00B66E42" w:rsidRDefault="00B66E42"/>
    <w:p w14:paraId="3F194255" w14:textId="4C0B8C00" w:rsidR="00B66E42" w:rsidRDefault="00B66E42" w:rsidP="00B66E42">
      <w:pPr>
        <w:autoSpaceDE w:val="0"/>
        <w:autoSpaceDN w:val="0"/>
        <w:adjustRightInd w:val="0"/>
        <w:rPr>
          <w:rFonts w:ascii="Times New Roman" w:hAnsi="Times New Roman" w:cs="Times New Roman"/>
        </w:rPr>
      </w:pPr>
      <w:r w:rsidRPr="00C5722B">
        <w:rPr>
          <w:rFonts w:ascii="Times New Roman" w:hAnsi="Times New Roman" w:cs="Times New Roman" w:hint="eastAsia"/>
          <w:b/>
          <w:bCs/>
          <w:szCs w:val="21"/>
        </w:rPr>
        <w:t>F</w:t>
      </w:r>
      <w:r w:rsidRPr="00C5722B">
        <w:rPr>
          <w:rFonts w:ascii="Times New Roman" w:hAnsi="Times New Roman" w:cs="Times New Roman"/>
          <w:b/>
          <w:bCs/>
          <w:szCs w:val="21"/>
        </w:rPr>
        <w:t xml:space="preserve">igure </w:t>
      </w:r>
      <w:r w:rsidR="00C5722B" w:rsidRPr="00C5722B">
        <w:rPr>
          <w:rFonts w:ascii="Times New Roman" w:hAnsi="Times New Roman" w:cs="Times New Roman"/>
          <w:b/>
          <w:bCs/>
          <w:szCs w:val="21"/>
        </w:rPr>
        <w:t>S</w:t>
      </w:r>
      <w:r w:rsidR="00B52C0A" w:rsidRPr="00C5722B">
        <w:rPr>
          <w:rFonts w:ascii="Times New Roman" w:hAnsi="Times New Roman" w:cs="Times New Roman"/>
          <w:b/>
          <w:bCs/>
          <w:szCs w:val="21"/>
        </w:rPr>
        <w:t>2</w:t>
      </w:r>
      <w:r w:rsidRPr="00C5722B">
        <w:rPr>
          <w:rFonts w:ascii="Times New Roman" w:hAnsi="Times New Roman" w:cs="Times New Roman"/>
          <w:b/>
          <w:bCs/>
          <w:szCs w:val="21"/>
        </w:rPr>
        <w:t xml:space="preserve">. The ROC and PRC validation of the diagnostic model in </w:t>
      </w:r>
      <w:r w:rsidRPr="00C5722B">
        <w:rPr>
          <w:rFonts w:ascii="Times New Roman" w:hAnsi="Times New Roman" w:cs="Times New Roman" w:hint="eastAsia"/>
          <w:b/>
          <w:bCs/>
          <w:szCs w:val="21"/>
        </w:rPr>
        <w:t>psoriasis</w:t>
      </w:r>
      <w:r w:rsidRPr="00C5722B">
        <w:rPr>
          <w:rFonts w:ascii="Times New Roman" w:hAnsi="Times New Roman" w:cs="Times New Roman"/>
          <w:b/>
          <w:bCs/>
          <w:szCs w:val="21"/>
        </w:rPr>
        <w:t xml:space="preserve"> dataset.</w:t>
      </w:r>
      <w:r>
        <w:rPr>
          <w:rFonts w:ascii="Times New Roman" w:hAnsi="Times New Roman" w:cs="Times New Roman"/>
        </w:rPr>
        <w:t xml:space="preserve"> (A) The ROC and PRC validation of the diagnostic model in training dataset. (B) The ROC and PRC validation of the diagnostic model in testing dataset.</w:t>
      </w:r>
    </w:p>
    <w:p w14:paraId="471292D1" w14:textId="77777777" w:rsidR="00B66E42" w:rsidRDefault="00B66E42" w:rsidP="00B66E42">
      <w:pPr>
        <w:autoSpaceDE w:val="0"/>
        <w:autoSpaceDN w:val="0"/>
        <w:adjustRightInd w:val="0"/>
        <w:rPr>
          <w:rFonts w:ascii="Times New Roman" w:hAnsi="Times New Roman" w:cs="Times New Roman"/>
        </w:rPr>
      </w:pPr>
    </w:p>
    <w:p w14:paraId="2E9730E5" w14:textId="77777777" w:rsidR="00B66E42" w:rsidRDefault="00B66E42" w:rsidP="00B66E42">
      <w:pPr>
        <w:autoSpaceDE w:val="0"/>
        <w:autoSpaceDN w:val="0"/>
        <w:adjustRightInd w:val="0"/>
        <w:rPr>
          <w:rFonts w:ascii="Times New Roman" w:hAnsi="Times New Roman" w:cs="Times New Roman"/>
        </w:rPr>
      </w:pPr>
    </w:p>
    <w:p w14:paraId="793B9A47" w14:textId="77777777" w:rsidR="00B66E42" w:rsidRDefault="00B66E42" w:rsidP="00B66E42">
      <w:pPr>
        <w:autoSpaceDE w:val="0"/>
        <w:autoSpaceDN w:val="0"/>
        <w:adjustRightInd w:val="0"/>
        <w:rPr>
          <w:rFonts w:ascii="Times New Roman" w:hAnsi="Times New Roman" w:cs="Times New Roman"/>
          <w:color w:val="DA3133"/>
          <w:sz w:val="27"/>
          <w:szCs w:val="27"/>
        </w:rPr>
      </w:pPr>
      <w:r>
        <w:rPr>
          <w:rFonts w:ascii="Times New Roman" w:hAnsi="Times New Roman" w:cs="Times New Roman"/>
          <w:noProof/>
          <w:color w:val="DA3133"/>
          <w:sz w:val="27"/>
          <w:szCs w:val="27"/>
        </w:rPr>
        <w:lastRenderedPageBreak/>
        <w:drawing>
          <wp:inline distT="0" distB="0" distL="0" distR="0" wp14:anchorId="58F5992E" wp14:editId="61026934">
            <wp:extent cx="5270500" cy="5254625"/>
            <wp:effectExtent l="0" t="0" r="0" b="3175"/>
            <wp:docPr id="6"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5254625"/>
                    </a:xfrm>
                    <a:prstGeom prst="rect">
                      <a:avLst/>
                    </a:prstGeom>
                  </pic:spPr>
                </pic:pic>
              </a:graphicData>
            </a:graphic>
          </wp:inline>
        </w:drawing>
      </w:r>
    </w:p>
    <w:p w14:paraId="7E9A94DE" w14:textId="0660EBF2" w:rsidR="00B66E42" w:rsidRPr="00C5722B" w:rsidRDefault="00B66E42" w:rsidP="00B66E42">
      <w:pPr>
        <w:pStyle w:val="NormalWeb"/>
        <w:shd w:val="clear" w:color="auto" w:fill="FFFFFF"/>
        <w:spacing w:before="0" w:beforeAutospacing="0" w:after="206" w:afterAutospacing="0" w:line="360" w:lineRule="atLeast"/>
        <w:rPr>
          <w:rFonts w:ascii="Times New Roman" w:hAnsi="Times New Roman" w:cs="Times New Roman"/>
          <w:color w:val="060607"/>
          <w:spacing w:val="4"/>
          <w:sz w:val="21"/>
          <w:szCs w:val="21"/>
        </w:rPr>
      </w:pPr>
      <w:r w:rsidRPr="00C5722B">
        <w:rPr>
          <w:rStyle w:val="Strong"/>
          <w:rFonts w:ascii="Times New Roman" w:hAnsi="Times New Roman" w:cs="Times New Roman"/>
          <w:color w:val="060607"/>
          <w:spacing w:val="4"/>
          <w:sz w:val="21"/>
          <w:szCs w:val="21"/>
        </w:rPr>
        <w:t xml:space="preserve">Figure </w:t>
      </w:r>
      <w:r w:rsidR="00C5722B" w:rsidRPr="00C5722B">
        <w:rPr>
          <w:rStyle w:val="Strong"/>
          <w:rFonts w:ascii="Times New Roman" w:hAnsi="Times New Roman" w:cs="Times New Roman"/>
          <w:color w:val="060607"/>
          <w:spacing w:val="4"/>
          <w:sz w:val="21"/>
          <w:szCs w:val="21"/>
        </w:rPr>
        <w:t>S</w:t>
      </w:r>
      <w:r w:rsidR="00B52C0A" w:rsidRPr="00C5722B">
        <w:rPr>
          <w:rStyle w:val="Strong"/>
          <w:rFonts w:ascii="Times New Roman" w:hAnsi="Times New Roman" w:cs="Times New Roman"/>
          <w:color w:val="060607"/>
          <w:spacing w:val="4"/>
          <w:sz w:val="21"/>
          <w:szCs w:val="21"/>
        </w:rPr>
        <w:t>3</w:t>
      </w:r>
      <w:r w:rsidR="00CD3F7E" w:rsidRPr="00C5722B">
        <w:rPr>
          <w:rStyle w:val="Strong"/>
          <w:rFonts w:ascii="Times New Roman" w:hAnsi="Times New Roman" w:cs="Times New Roman"/>
          <w:color w:val="060607"/>
          <w:spacing w:val="4"/>
          <w:sz w:val="21"/>
          <w:szCs w:val="21"/>
        </w:rPr>
        <w:t xml:space="preserve">. </w:t>
      </w:r>
      <w:r w:rsidRPr="00C5722B">
        <w:rPr>
          <w:rStyle w:val="Strong"/>
          <w:rFonts w:ascii="Times New Roman" w:hAnsi="Times New Roman" w:cs="Times New Roman"/>
          <w:color w:val="060607"/>
          <w:spacing w:val="4"/>
          <w:sz w:val="21"/>
          <w:szCs w:val="21"/>
        </w:rPr>
        <w:t>Analysis of Immune Infiltration and Metabolic Pathways in Psoriasis</w:t>
      </w:r>
      <w:r w:rsidRPr="00C5722B">
        <w:rPr>
          <w:rFonts w:ascii="Times New Roman" w:hAnsi="Times New Roman" w:cs="Times New Roman"/>
          <w:color w:val="060607"/>
          <w:spacing w:val="4"/>
          <w:sz w:val="21"/>
          <w:szCs w:val="21"/>
        </w:rPr>
        <w:t xml:space="preserve"> (A) This heatmap illustrates the relationships between key genes (referred to as "hub genes") and the presence of immune and inflammatory cells that have infiltrated the skin in psoriasis patients. (B) Similarly, this heatmap demonstrates the connections between the same set of hub genes and various metabolic pathways that are implicated in the disease process of psoriasis.</w:t>
      </w:r>
    </w:p>
    <w:p w14:paraId="0B4E0B41" w14:textId="77777777" w:rsidR="00B66E42" w:rsidRPr="00B66E42" w:rsidRDefault="00B66E42" w:rsidP="00B66E42">
      <w:pPr>
        <w:autoSpaceDE w:val="0"/>
        <w:autoSpaceDN w:val="0"/>
        <w:adjustRightInd w:val="0"/>
        <w:rPr>
          <w:rFonts w:ascii="Times New Roman" w:hAnsi="Times New Roman" w:cs="Times New Roman"/>
          <w:color w:val="DA3133"/>
          <w:sz w:val="27"/>
          <w:szCs w:val="27"/>
        </w:rPr>
      </w:pPr>
    </w:p>
    <w:p w14:paraId="4C1260CE" w14:textId="77777777" w:rsidR="00B66E42" w:rsidRDefault="00B66E42"/>
    <w:p w14:paraId="78188E68" w14:textId="77777777" w:rsidR="00B66E42" w:rsidRDefault="00B66E42"/>
    <w:p w14:paraId="611C283C" w14:textId="77777777" w:rsidR="00B66E42" w:rsidRDefault="00B66E42"/>
    <w:p w14:paraId="10407AC3" w14:textId="77777777" w:rsidR="00B66E42" w:rsidRDefault="00B66E42"/>
    <w:p w14:paraId="14B25313" w14:textId="77777777" w:rsidR="00B66E42" w:rsidRDefault="00B66E42"/>
    <w:p w14:paraId="1829B747" w14:textId="77777777" w:rsidR="00B66E42" w:rsidRDefault="00B66E42"/>
    <w:p w14:paraId="1368DB30" w14:textId="77777777" w:rsidR="00B66E42" w:rsidRDefault="00B66E42"/>
    <w:p w14:paraId="38AD8359" w14:textId="77777777" w:rsidR="00B66E42" w:rsidRDefault="00B66E42"/>
    <w:p w14:paraId="7394CF09" w14:textId="77777777" w:rsidR="00B66E42" w:rsidRDefault="00B66E42"/>
    <w:p w14:paraId="2ED78714" w14:textId="77777777" w:rsidR="00B66E42" w:rsidRDefault="00B66E42" w:rsidP="00B66E42">
      <w:pPr>
        <w:autoSpaceDE w:val="0"/>
        <w:autoSpaceDN w:val="0"/>
        <w:adjustRightInd w:val="0"/>
        <w:rPr>
          <w:rFonts w:ascii="Times New Roman" w:hAnsi="Times New Roman" w:cs="Times New Roman"/>
          <w:color w:val="DA3133"/>
          <w:sz w:val="27"/>
          <w:szCs w:val="27"/>
        </w:rPr>
      </w:pPr>
      <w:r>
        <w:rPr>
          <w:rFonts w:ascii="Times New Roman" w:hAnsi="Times New Roman" w:cs="Times New Roman" w:hint="eastAsia"/>
          <w:noProof/>
          <w:color w:val="DA3133"/>
          <w:sz w:val="27"/>
          <w:szCs w:val="27"/>
        </w:rPr>
        <w:lastRenderedPageBreak/>
        <w:drawing>
          <wp:inline distT="0" distB="0" distL="0" distR="0" wp14:anchorId="348AD485" wp14:editId="4D07C9FB">
            <wp:extent cx="4498975" cy="8864600"/>
            <wp:effectExtent l="0" t="0" r="0" b="0"/>
            <wp:docPr id="7" name="图片 7" descr="图形用户界面, 应用程序,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8975" cy="8864600"/>
                    </a:xfrm>
                    <a:prstGeom prst="rect">
                      <a:avLst/>
                    </a:prstGeom>
                  </pic:spPr>
                </pic:pic>
              </a:graphicData>
            </a:graphic>
          </wp:inline>
        </w:drawing>
      </w:r>
    </w:p>
    <w:p w14:paraId="1D65D905" w14:textId="5D57860C" w:rsidR="00B66E42" w:rsidRDefault="00B66E42" w:rsidP="00B66E42">
      <w:pPr>
        <w:rPr>
          <w:rFonts w:ascii="Times New Roman" w:hAnsi="Times New Roman" w:cs="Times New Roman"/>
          <w:szCs w:val="21"/>
        </w:rPr>
      </w:pPr>
      <w:r w:rsidRPr="00C5722B">
        <w:rPr>
          <w:rFonts w:ascii="Times New Roman" w:hAnsi="Times New Roman" w:cs="Times New Roman" w:hint="eastAsia"/>
          <w:b/>
          <w:bCs/>
          <w:szCs w:val="21"/>
        </w:rPr>
        <w:lastRenderedPageBreak/>
        <w:t>Figure</w:t>
      </w:r>
      <w:r w:rsidRPr="00C5722B">
        <w:rPr>
          <w:rFonts w:ascii="Times New Roman" w:hAnsi="Times New Roman" w:cs="Times New Roman"/>
          <w:b/>
          <w:bCs/>
          <w:szCs w:val="21"/>
        </w:rPr>
        <w:t xml:space="preserve"> </w:t>
      </w:r>
      <w:r w:rsidR="00C5722B" w:rsidRPr="00C5722B">
        <w:rPr>
          <w:rFonts w:ascii="Times New Roman" w:hAnsi="Times New Roman" w:cs="Times New Roman"/>
          <w:b/>
          <w:bCs/>
          <w:szCs w:val="21"/>
        </w:rPr>
        <w:t>S</w:t>
      </w:r>
      <w:r w:rsidR="00B52C0A" w:rsidRPr="00C5722B">
        <w:rPr>
          <w:rFonts w:ascii="Times New Roman" w:hAnsi="Times New Roman" w:cs="Times New Roman"/>
          <w:b/>
          <w:bCs/>
          <w:szCs w:val="21"/>
        </w:rPr>
        <w:t>4</w:t>
      </w:r>
      <w:r w:rsidRPr="00C5722B">
        <w:rPr>
          <w:rFonts w:ascii="Times New Roman" w:hAnsi="Times New Roman" w:cs="Times New Roman"/>
          <w:b/>
          <w:bCs/>
          <w:szCs w:val="21"/>
        </w:rPr>
        <w:t>.</w:t>
      </w:r>
      <w:r w:rsidRPr="00610C02">
        <w:rPr>
          <w:rFonts w:ascii="Times New Roman" w:hAnsi="Times New Roman" w:cs="Times New Roman"/>
          <w:sz w:val="27"/>
          <w:szCs w:val="27"/>
        </w:rPr>
        <w:t xml:space="preserve"> </w:t>
      </w:r>
      <w:r w:rsidRPr="00610C02">
        <w:rPr>
          <w:rFonts w:ascii="Times New Roman" w:hAnsi="Times New Roman" w:cs="Times New Roman"/>
          <w:b/>
          <w:bCs/>
          <w:szCs w:val="21"/>
        </w:rPr>
        <w:t>The glycolysis score comparison between MCAO mouse and sham mouse.</w:t>
      </w:r>
      <w:r w:rsidRPr="00610C02">
        <w:rPr>
          <w:rFonts w:ascii="Times New Roman" w:hAnsi="Times New Roman" w:cs="Times New Roman"/>
          <w:szCs w:val="21"/>
        </w:rPr>
        <w:t xml:space="preserve"> (A) Violin plot shows the quanti</w:t>
      </w:r>
      <w:r w:rsidRPr="00610C02">
        <w:rPr>
          <w:rFonts w:ascii="Times New Roman" w:hAnsi="Times New Roman" w:cs="Times New Roman" w:hint="eastAsia"/>
          <w:szCs w:val="21"/>
        </w:rPr>
        <w:t>ta</w:t>
      </w:r>
      <w:r w:rsidRPr="00610C02">
        <w:rPr>
          <w:rFonts w:ascii="Times New Roman" w:hAnsi="Times New Roman" w:cs="Times New Roman"/>
          <w:szCs w:val="21"/>
        </w:rPr>
        <w:t xml:space="preserve">tive comparison of glycolysis score in keratinocytes between psoriasis and control group. (B) The co-expression of PRSS8 and glycolysis score on the </w:t>
      </w:r>
      <w:proofErr w:type="spellStart"/>
      <w:r w:rsidRPr="00610C02">
        <w:rPr>
          <w:rFonts w:ascii="Times New Roman" w:hAnsi="Times New Roman" w:cs="Times New Roman"/>
          <w:szCs w:val="21"/>
        </w:rPr>
        <w:t>uMAP</w:t>
      </w:r>
      <w:proofErr w:type="spellEnd"/>
      <w:r w:rsidRPr="00610C02">
        <w:rPr>
          <w:rFonts w:ascii="Times New Roman" w:hAnsi="Times New Roman" w:cs="Times New Roman"/>
          <w:szCs w:val="21"/>
        </w:rPr>
        <w:t xml:space="preserve">. (C) The co-expression of TNF and glycolysis score on the </w:t>
      </w:r>
      <w:proofErr w:type="spellStart"/>
      <w:r w:rsidRPr="00610C02">
        <w:rPr>
          <w:rFonts w:ascii="Times New Roman" w:hAnsi="Times New Roman" w:cs="Times New Roman"/>
          <w:szCs w:val="21"/>
        </w:rPr>
        <w:t>uMAP</w:t>
      </w:r>
      <w:proofErr w:type="spellEnd"/>
      <w:r w:rsidRPr="00610C02">
        <w:rPr>
          <w:rFonts w:ascii="Times New Roman" w:hAnsi="Times New Roman" w:cs="Times New Roman"/>
          <w:szCs w:val="21"/>
        </w:rPr>
        <w:t>.</w:t>
      </w:r>
    </w:p>
    <w:p w14:paraId="6743449E" w14:textId="77777777" w:rsidR="00800352" w:rsidRDefault="00800352" w:rsidP="00B66E42">
      <w:pPr>
        <w:rPr>
          <w:rFonts w:ascii="Times New Roman" w:hAnsi="Times New Roman" w:cs="Times New Roman"/>
          <w:szCs w:val="21"/>
        </w:rPr>
      </w:pPr>
    </w:p>
    <w:p w14:paraId="1AAC5D42" w14:textId="77777777" w:rsidR="00800352" w:rsidRDefault="00800352" w:rsidP="00B66E42">
      <w:pPr>
        <w:rPr>
          <w:rFonts w:ascii="Times New Roman" w:hAnsi="Times New Roman" w:cs="Times New Roman"/>
          <w:szCs w:val="21"/>
        </w:rPr>
      </w:pPr>
    </w:p>
    <w:p w14:paraId="61826A1E" w14:textId="77777777" w:rsidR="00800352" w:rsidRDefault="0045307E" w:rsidP="00B66E42">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3EDC8FF4" wp14:editId="1776932B">
            <wp:extent cx="5070294" cy="8153400"/>
            <wp:effectExtent l="0" t="0" r="0" b="0"/>
            <wp:docPr id="1"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6931" cy="8164072"/>
                    </a:xfrm>
                    <a:prstGeom prst="rect">
                      <a:avLst/>
                    </a:prstGeom>
                  </pic:spPr>
                </pic:pic>
              </a:graphicData>
            </a:graphic>
          </wp:inline>
        </w:drawing>
      </w:r>
    </w:p>
    <w:p w14:paraId="726F47D8" w14:textId="6263A726" w:rsidR="0045307E" w:rsidRDefault="0045307E" w:rsidP="00B66E42">
      <w:pPr>
        <w:rPr>
          <w:rFonts w:ascii="Times New Roman" w:hAnsi="Times New Roman" w:cs="Times New Roman"/>
          <w:szCs w:val="21"/>
        </w:rPr>
      </w:pPr>
      <w:r w:rsidRPr="0045307E">
        <w:rPr>
          <w:rFonts w:ascii="Times New Roman" w:hAnsi="Times New Roman" w:cs="Times New Roman"/>
          <w:b/>
          <w:bCs/>
          <w:szCs w:val="21"/>
        </w:rPr>
        <w:t xml:space="preserve">Figure </w:t>
      </w:r>
      <w:r w:rsidR="00C5722B">
        <w:rPr>
          <w:rFonts w:ascii="Times New Roman" w:hAnsi="Times New Roman" w:cs="Times New Roman"/>
          <w:b/>
          <w:bCs/>
          <w:szCs w:val="21"/>
        </w:rPr>
        <w:t>S</w:t>
      </w:r>
      <w:r w:rsidR="00B52C0A">
        <w:rPr>
          <w:rFonts w:ascii="Times New Roman" w:hAnsi="Times New Roman" w:cs="Times New Roman"/>
          <w:b/>
          <w:bCs/>
          <w:szCs w:val="21"/>
        </w:rPr>
        <w:t>5</w:t>
      </w:r>
      <w:r w:rsidRPr="0045307E">
        <w:rPr>
          <w:rFonts w:ascii="Times New Roman" w:hAnsi="Times New Roman" w:cs="Times New Roman"/>
          <w:b/>
          <w:bCs/>
          <w:szCs w:val="21"/>
        </w:rPr>
        <w:t xml:space="preserve">. The KEGG and </w:t>
      </w:r>
      <w:r w:rsidRPr="0045307E">
        <w:rPr>
          <w:rFonts w:ascii="Times New Roman" w:hAnsi="Times New Roman" w:cs="Times New Roman" w:hint="eastAsia"/>
          <w:b/>
          <w:bCs/>
          <w:szCs w:val="21"/>
        </w:rPr>
        <w:t>d</w:t>
      </w:r>
      <w:r w:rsidRPr="0045307E">
        <w:rPr>
          <w:rFonts w:ascii="Times New Roman" w:hAnsi="Times New Roman" w:cs="Times New Roman"/>
          <w:b/>
          <w:bCs/>
          <w:szCs w:val="21"/>
        </w:rPr>
        <w:t>rug-target result for druggable genes in psoriasis.</w:t>
      </w:r>
      <w:r>
        <w:rPr>
          <w:rFonts w:ascii="Times New Roman" w:hAnsi="Times New Roman" w:cs="Times New Roman"/>
          <w:szCs w:val="21"/>
        </w:rPr>
        <w:t xml:space="preserve"> (A) KEGG plot (B) The </w:t>
      </w:r>
      <w:proofErr w:type="spellStart"/>
      <w:r>
        <w:rPr>
          <w:rFonts w:ascii="Times New Roman" w:hAnsi="Times New Roman" w:cs="Times New Roman"/>
          <w:szCs w:val="21"/>
        </w:rPr>
        <w:t>cnet</w:t>
      </w:r>
      <w:proofErr w:type="spellEnd"/>
      <w:r>
        <w:rPr>
          <w:rFonts w:ascii="Times New Roman" w:hAnsi="Times New Roman" w:cs="Times New Roman"/>
          <w:szCs w:val="21"/>
        </w:rPr>
        <w:t xml:space="preserve"> plot show the potential drugs and targets.</w:t>
      </w:r>
    </w:p>
    <w:p w14:paraId="60470732" w14:textId="77777777" w:rsidR="00D842DB" w:rsidRPr="00D842DB" w:rsidRDefault="00D842DB" w:rsidP="00B66E42">
      <w:pPr>
        <w:rPr>
          <w:rFonts w:ascii="Times New Roman" w:hAnsi="Times New Roman" w:cs="Times New Roman"/>
          <w:szCs w:val="21"/>
        </w:rPr>
      </w:pPr>
      <w:r>
        <w:rPr>
          <w:rFonts w:ascii="Times New Roman" w:hAnsi="Times New Roman" w:cs="Times New Roman" w:hint="eastAsia"/>
          <w:noProof/>
          <w:szCs w:val="21"/>
        </w:rPr>
        <w:lastRenderedPageBreak/>
        <w:drawing>
          <wp:inline distT="0" distB="0" distL="0" distR="0" wp14:anchorId="34266281" wp14:editId="3F9DADA7">
            <wp:extent cx="5270500" cy="3722370"/>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3722370"/>
                    </a:xfrm>
                    <a:prstGeom prst="rect">
                      <a:avLst/>
                    </a:prstGeom>
                  </pic:spPr>
                </pic:pic>
              </a:graphicData>
            </a:graphic>
          </wp:inline>
        </w:drawing>
      </w:r>
    </w:p>
    <w:p w14:paraId="1FEBF164" w14:textId="77777777" w:rsidR="00D842DB" w:rsidRDefault="00D842DB" w:rsidP="00B66E42">
      <w:pPr>
        <w:rPr>
          <w:rFonts w:ascii="Times New Roman" w:hAnsi="Times New Roman" w:cs="Times New Roman"/>
          <w:szCs w:val="21"/>
        </w:rPr>
      </w:pPr>
    </w:p>
    <w:p w14:paraId="39985635" w14:textId="00C496C5" w:rsidR="00D842DB" w:rsidRDefault="00D842DB" w:rsidP="00B66E42">
      <w:pPr>
        <w:rPr>
          <w:rFonts w:ascii="Times New Roman" w:hAnsi="Times New Roman" w:cs="Times New Roman"/>
          <w:szCs w:val="21"/>
        </w:rPr>
      </w:pPr>
      <w:r w:rsidRPr="00C5722B">
        <w:rPr>
          <w:rFonts w:ascii="Times New Roman" w:hAnsi="Times New Roman" w:cs="Times New Roman"/>
          <w:b/>
          <w:bCs/>
          <w:szCs w:val="21"/>
        </w:rPr>
        <w:t xml:space="preserve">Figure </w:t>
      </w:r>
      <w:r w:rsidR="00C5722B" w:rsidRPr="00C5722B">
        <w:rPr>
          <w:rFonts w:ascii="Times New Roman" w:hAnsi="Times New Roman" w:cs="Times New Roman"/>
          <w:b/>
          <w:bCs/>
          <w:szCs w:val="21"/>
        </w:rPr>
        <w:t>S</w:t>
      </w:r>
      <w:r w:rsidRPr="00C5722B">
        <w:rPr>
          <w:rFonts w:ascii="Times New Roman" w:hAnsi="Times New Roman" w:cs="Times New Roman"/>
          <w:b/>
          <w:bCs/>
          <w:szCs w:val="21"/>
        </w:rPr>
        <w:t xml:space="preserve">6. The molecular docking between </w:t>
      </w:r>
      <w:r w:rsidRPr="00C5722B">
        <w:rPr>
          <w:rFonts w:ascii="Times New Roman" w:hAnsi="Times New Roman" w:cs="Times New Roman"/>
          <w:b/>
          <w:bCs/>
        </w:rPr>
        <w:t>simvastatin and TNF-alpha with a binding score is around -10.0</w:t>
      </w:r>
      <w:r w:rsidR="00732D94" w:rsidRPr="00C5722B">
        <w:rPr>
          <w:rFonts w:ascii="Times New Roman" w:hAnsi="Times New Roman" w:cs="Times New Roman"/>
          <w:b/>
          <w:bCs/>
        </w:rPr>
        <w:t>.</w:t>
      </w:r>
      <w:r w:rsidR="00C07A7E">
        <w:rPr>
          <w:rFonts w:ascii="Times New Roman" w:hAnsi="Times New Roman" w:cs="Times New Roman"/>
        </w:rPr>
        <w:t xml:space="preserve"> (A) The structure of TNF-alpha. (B) The Vina score for binding between simvastatin and TNF-alpha. (C) The binding sites between simvastatin and TNF-alpha. (D) The enlarged binding site of C1, which has the biggest Vina score.</w:t>
      </w:r>
    </w:p>
    <w:p w14:paraId="242FF0AB" w14:textId="77777777" w:rsidR="00D842DB" w:rsidRDefault="00D842DB" w:rsidP="00B66E42">
      <w:pPr>
        <w:rPr>
          <w:rFonts w:ascii="Times New Roman" w:hAnsi="Times New Roman" w:cs="Times New Roman"/>
          <w:szCs w:val="21"/>
        </w:rPr>
      </w:pPr>
    </w:p>
    <w:p w14:paraId="5E30998D" w14:textId="77777777" w:rsidR="00800352" w:rsidRPr="00800352" w:rsidRDefault="00800352" w:rsidP="00B66E42"/>
    <w:sectPr w:rsidR="00800352" w:rsidRPr="00800352" w:rsidSect="00F0643D">
      <w:footerReference w:type="even" r:id="rId12"/>
      <w:footerReference w:type="default" r:id="rId13"/>
      <w:footerReference w:type="first" r:id="rId14"/>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950E9" w14:textId="77777777" w:rsidR="00757F23" w:rsidRDefault="00757F23" w:rsidP="00CE2220">
      <w:r>
        <w:separator/>
      </w:r>
    </w:p>
  </w:endnote>
  <w:endnote w:type="continuationSeparator" w:id="0">
    <w:p w14:paraId="5C4AFD03" w14:textId="77777777" w:rsidR="00757F23" w:rsidRDefault="00757F23" w:rsidP="00CE2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B71C" w14:textId="473028B4" w:rsidR="00CE2220" w:rsidRDefault="00CE2220">
    <w:pPr>
      <w:pStyle w:val="Footer"/>
    </w:pPr>
    <w:r>
      <w:rPr>
        <w:noProof/>
      </w:rPr>
      <mc:AlternateContent>
        <mc:Choice Requires="wps">
          <w:drawing>
            <wp:anchor distT="0" distB="0" distL="0" distR="0" simplePos="0" relativeHeight="251659264" behindDoc="0" locked="0" layoutInCell="1" allowOverlap="1" wp14:anchorId="1D966187" wp14:editId="31176DAF">
              <wp:simplePos x="635" y="635"/>
              <wp:positionH relativeFrom="page">
                <wp:align>left</wp:align>
              </wp:positionH>
              <wp:positionV relativeFrom="page">
                <wp:align>bottom</wp:align>
              </wp:positionV>
              <wp:extent cx="2077085" cy="324485"/>
              <wp:effectExtent l="0" t="0" r="18415" b="0"/>
              <wp:wrapNone/>
              <wp:docPr id="865969459"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C0E6CC8" w14:textId="007031DE" w:rsidR="00CE2220" w:rsidRPr="00CE2220" w:rsidRDefault="00CE2220" w:rsidP="00CE2220">
                          <w:pPr>
                            <w:rPr>
                              <w:rFonts w:ascii="Rockwell" w:eastAsia="Rockwell" w:hAnsi="Rockwell" w:cs="Rockwell"/>
                              <w:noProof/>
                              <w:color w:val="0078D7"/>
                              <w:sz w:val="18"/>
                              <w:szCs w:val="18"/>
                            </w:rPr>
                          </w:pPr>
                          <w:r w:rsidRPr="00CE222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966187"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6C0E6CC8" w14:textId="007031DE" w:rsidR="00CE2220" w:rsidRPr="00CE2220" w:rsidRDefault="00CE2220" w:rsidP="00CE2220">
                    <w:pPr>
                      <w:rPr>
                        <w:rFonts w:ascii="Rockwell" w:eastAsia="Rockwell" w:hAnsi="Rockwell" w:cs="Rockwell"/>
                        <w:noProof/>
                        <w:color w:val="0078D7"/>
                        <w:sz w:val="18"/>
                        <w:szCs w:val="18"/>
                      </w:rPr>
                    </w:pPr>
                    <w:r w:rsidRPr="00CE222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EC2C6" w14:textId="6FC1BE63" w:rsidR="00CE2220" w:rsidRDefault="00CE2220">
    <w:pPr>
      <w:pStyle w:val="Footer"/>
    </w:pPr>
    <w:r>
      <w:rPr>
        <w:noProof/>
      </w:rPr>
      <mc:AlternateContent>
        <mc:Choice Requires="wps">
          <w:drawing>
            <wp:anchor distT="0" distB="0" distL="0" distR="0" simplePos="0" relativeHeight="251660288" behindDoc="0" locked="0" layoutInCell="1" allowOverlap="1" wp14:anchorId="76B1C709" wp14:editId="63C41003">
              <wp:simplePos x="1143000" y="9886950"/>
              <wp:positionH relativeFrom="page">
                <wp:align>left</wp:align>
              </wp:positionH>
              <wp:positionV relativeFrom="page">
                <wp:align>bottom</wp:align>
              </wp:positionV>
              <wp:extent cx="2077085" cy="324485"/>
              <wp:effectExtent l="0" t="0" r="18415" b="0"/>
              <wp:wrapNone/>
              <wp:docPr id="160064324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3521105" w14:textId="5E63D6D7" w:rsidR="00CE2220" w:rsidRPr="00CE2220" w:rsidRDefault="00CE2220" w:rsidP="00CE2220">
                          <w:pPr>
                            <w:rPr>
                              <w:rFonts w:ascii="Rockwell" w:eastAsia="Rockwell" w:hAnsi="Rockwell" w:cs="Rockwell"/>
                              <w:noProof/>
                              <w:color w:val="0078D7"/>
                              <w:sz w:val="18"/>
                              <w:szCs w:val="18"/>
                            </w:rPr>
                          </w:pPr>
                          <w:r w:rsidRPr="00CE222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B1C709"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63521105" w14:textId="5E63D6D7" w:rsidR="00CE2220" w:rsidRPr="00CE2220" w:rsidRDefault="00CE2220" w:rsidP="00CE2220">
                    <w:pPr>
                      <w:rPr>
                        <w:rFonts w:ascii="Rockwell" w:eastAsia="Rockwell" w:hAnsi="Rockwell" w:cs="Rockwell"/>
                        <w:noProof/>
                        <w:color w:val="0078D7"/>
                        <w:sz w:val="18"/>
                        <w:szCs w:val="18"/>
                      </w:rPr>
                    </w:pPr>
                    <w:r w:rsidRPr="00CE222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7B20D" w14:textId="43D07BCC" w:rsidR="00CE2220" w:rsidRDefault="00CE2220">
    <w:pPr>
      <w:pStyle w:val="Footer"/>
    </w:pPr>
    <w:r>
      <w:rPr>
        <w:noProof/>
      </w:rPr>
      <mc:AlternateContent>
        <mc:Choice Requires="wps">
          <w:drawing>
            <wp:anchor distT="0" distB="0" distL="0" distR="0" simplePos="0" relativeHeight="251658240" behindDoc="0" locked="0" layoutInCell="1" allowOverlap="1" wp14:anchorId="302A0BBD" wp14:editId="3BA60DAA">
              <wp:simplePos x="635" y="635"/>
              <wp:positionH relativeFrom="page">
                <wp:align>left</wp:align>
              </wp:positionH>
              <wp:positionV relativeFrom="page">
                <wp:align>bottom</wp:align>
              </wp:positionV>
              <wp:extent cx="2077085" cy="324485"/>
              <wp:effectExtent l="0" t="0" r="18415" b="0"/>
              <wp:wrapNone/>
              <wp:docPr id="131693127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8D30130" w14:textId="41E14C2E" w:rsidR="00CE2220" w:rsidRPr="00CE2220" w:rsidRDefault="00CE2220" w:rsidP="00CE2220">
                          <w:pPr>
                            <w:rPr>
                              <w:rFonts w:ascii="Rockwell" w:eastAsia="Rockwell" w:hAnsi="Rockwell" w:cs="Rockwell"/>
                              <w:noProof/>
                              <w:color w:val="0078D7"/>
                              <w:sz w:val="18"/>
                              <w:szCs w:val="18"/>
                            </w:rPr>
                          </w:pPr>
                          <w:r w:rsidRPr="00CE222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2A0BBD"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28D30130" w14:textId="41E14C2E" w:rsidR="00CE2220" w:rsidRPr="00CE2220" w:rsidRDefault="00CE2220" w:rsidP="00CE2220">
                    <w:pPr>
                      <w:rPr>
                        <w:rFonts w:ascii="Rockwell" w:eastAsia="Rockwell" w:hAnsi="Rockwell" w:cs="Rockwell"/>
                        <w:noProof/>
                        <w:color w:val="0078D7"/>
                        <w:sz w:val="18"/>
                        <w:szCs w:val="18"/>
                      </w:rPr>
                    </w:pPr>
                    <w:r w:rsidRPr="00CE222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B804F" w14:textId="77777777" w:rsidR="00757F23" w:rsidRDefault="00757F23" w:rsidP="00CE2220">
      <w:r>
        <w:separator/>
      </w:r>
    </w:p>
  </w:footnote>
  <w:footnote w:type="continuationSeparator" w:id="0">
    <w:p w14:paraId="3DE33857" w14:textId="77777777" w:rsidR="00757F23" w:rsidRDefault="00757F23" w:rsidP="00CE22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E42"/>
    <w:rsid w:val="00004BB7"/>
    <w:rsid w:val="00011D64"/>
    <w:rsid w:val="00021DCF"/>
    <w:rsid w:val="00022A3F"/>
    <w:rsid w:val="00032E4A"/>
    <w:rsid w:val="00055F84"/>
    <w:rsid w:val="0005600B"/>
    <w:rsid w:val="00057DFC"/>
    <w:rsid w:val="0006077B"/>
    <w:rsid w:val="00063D97"/>
    <w:rsid w:val="00077C26"/>
    <w:rsid w:val="00080F08"/>
    <w:rsid w:val="00081554"/>
    <w:rsid w:val="00096A08"/>
    <w:rsid w:val="000C0B48"/>
    <w:rsid w:val="000D0E43"/>
    <w:rsid w:val="000D153C"/>
    <w:rsid w:val="000D276F"/>
    <w:rsid w:val="000D6121"/>
    <w:rsid w:val="000E132A"/>
    <w:rsid w:val="000F2BC0"/>
    <w:rsid w:val="000F2EC2"/>
    <w:rsid w:val="00107D8C"/>
    <w:rsid w:val="00113239"/>
    <w:rsid w:val="00124A59"/>
    <w:rsid w:val="00135F8A"/>
    <w:rsid w:val="00136B52"/>
    <w:rsid w:val="00141BA4"/>
    <w:rsid w:val="00155C2C"/>
    <w:rsid w:val="00160C87"/>
    <w:rsid w:val="00162AF4"/>
    <w:rsid w:val="00162EDD"/>
    <w:rsid w:val="00182288"/>
    <w:rsid w:val="001A17F8"/>
    <w:rsid w:val="001A4861"/>
    <w:rsid w:val="001A69CA"/>
    <w:rsid w:val="001B1D7D"/>
    <w:rsid w:val="001B524E"/>
    <w:rsid w:val="001E2C56"/>
    <w:rsid w:val="001F0CB2"/>
    <w:rsid w:val="001F13AB"/>
    <w:rsid w:val="0022113B"/>
    <w:rsid w:val="0022433A"/>
    <w:rsid w:val="00246F4D"/>
    <w:rsid w:val="00255A0E"/>
    <w:rsid w:val="002729BE"/>
    <w:rsid w:val="002807CA"/>
    <w:rsid w:val="002845D3"/>
    <w:rsid w:val="002B4576"/>
    <w:rsid w:val="002B5685"/>
    <w:rsid w:val="002D5E42"/>
    <w:rsid w:val="002D64F1"/>
    <w:rsid w:val="002F3B79"/>
    <w:rsid w:val="0030186D"/>
    <w:rsid w:val="00306743"/>
    <w:rsid w:val="00312BBD"/>
    <w:rsid w:val="00316056"/>
    <w:rsid w:val="00335A4A"/>
    <w:rsid w:val="0034118C"/>
    <w:rsid w:val="00341A8E"/>
    <w:rsid w:val="0035072B"/>
    <w:rsid w:val="00350F30"/>
    <w:rsid w:val="00363C80"/>
    <w:rsid w:val="00377702"/>
    <w:rsid w:val="003A5247"/>
    <w:rsid w:val="003B6B86"/>
    <w:rsid w:val="003B760E"/>
    <w:rsid w:val="003D1A01"/>
    <w:rsid w:val="003D74DB"/>
    <w:rsid w:val="003E0676"/>
    <w:rsid w:val="003E74C2"/>
    <w:rsid w:val="003E7F55"/>
    <w:rsid w:val="003F240F"/>
    <w:rsid w:val="0040198A"/>
    <w:rsid w:val="00403EAB"/>
    <w:rsid w:val="004055D9"/>
    <w:rsid w:val="00420B68"/>
    <w:rsid w:val="00421EF0"/>
    <w:rsid w:val="0043051D"/>
    <w:rsid w:val="00452A63"/>
    <w:rsid w:val="0045307E"/>
    <w:rsid w:val="0046027D"/>
    <w:rsid w:val="00487687"/>
    <w:rsid w:val="004935C2"/>
    <w:rsid w:val="004954FB"/>
    <w:rsid w:val="004958F0"/>
    <w:rsid w:val="004A0181"/>
    <w:rsid w:val="004B0895"/>
    <w:rsid w:val="004B5AF2"/>
    <w:rsid w:val="004C43B2"/>
    <w:rsid w:val="004D63F6"/>
    <w:rsid w:val="004E2E60"/>
    <w:rsid w:val="004E4B31"/>
    <w:rsid w:val="004E680C"/>
    <w:rsid w:val="00517C9D"/>
    <w:rsid w:val="0052431D"/>
    <w:rsid w:val="00524C32"/>
    <w:rsid w:val="005331CA"/>
    <w:rsid w:val="00555DEF"/>
    <w:rsid w:val="00567B81"/>
    <w:rsid w:val="0058055D"/>
    <w:rsid w:val="00591F51"/>
    <w:rsid w:val="005A2914"/>
    <w:rsid w:val="005B328A"/>
    <w:rsid w:val="005B43B8"/>
    <w:rsid w:val="005B4B0A"/>
    <w:rsid w:val="005C4885"/>
    <w:rsid w:val="005E6387"/>
    <w:rsid w:val="005F3A8C"/>
    <w:rsid w:val="00601216"/>
    <w:rsid w:val="006111D9"/>
    <w:rsid w:val="006276DA"/>
    <w:rsid w:val="00633FCB"/>
    <w:rsid w:val="00637B33"/>
    <w:rsid w:val="00643E03"/>
    <w:rsid w:val="00657C30"/>
    <w:rsid w:val="00664AD7"/>
    <w:rsid w:val="0067113C"/>
    <w:rsid w:val="0068611B"/>
    <w:rsid w:val="006A5D29"/>
    <w:rsid w:val="006B2B90"/>
    <w:rsid w:val="006B79B3"/>
    <w:rsid w:val="006D053D"/>
    <w:rsid w:val="006D6174"/>
    <w:rsid w:val="006E1722"/>
    <w:rsid w:val="006F1903"/>
    <w:rsid w:val="006F337E"/>
    <w:rsid w:val="006F5DC8"/>
    <w:rsid w:val="00711623"/>
    <w:rsid w:val="00713075"/>
    <w:rsid w:val="00715A54"/>
    <w:rsid w:val="00717449"/>
    <w:rsid w:val="00721726"/>
    <w:rsid w:val="0072278B"/>
    <w:rsid w:val="00725B17"/>
    <w:rsid w:val="007308F7"/>
    <w:rsid w:val="00732D94"/>
    <w:rsid w:val="00755246"/>
    <w:rsid w:val="00757F23"/>
    <w:rsid w:val="007644F8"/>
    <w:rsid w:val="0076636B"/>
    <w:rsid w:val="007716B6"/>
    <w:rsid w:val="00772B78"/>
    <w:rsid w:val="0079661C"/>
    <w:rsid w:val="007A15CF"/>
    <w:rsid w:val="007B544A"/>
    <w:rsid w:val="007C18E9"/>
    <w:rsid w:val="007F7700"/>
    <w:rsid w:val="00800352"/>
    <w:rsid w:val="008022E1"/>
    <w:rsid w:val="00802F22"/>
    <w:rsid w:val="00806FB4"/>
    <w:rsid w:val="008241EE"/>
    <w:rsid w:val="00826ABF"/>
    <w:rsid w:val="00836816"/>
    <w:rsid w:val="008407EA"/>
    <w:rsid w:val="00841990"/>
    <w:rsid w:val="00867961"/>
    <w:rsid w:val="00874583"/>
    <w:rsid w:val="00876A8D"/>
    <w:rsid w:val="00881090"/>
    <w:rsid w:val="00885746"/>
    <w:rsid w:val="008934E6"/>
    <w:rsid w:val="008C7D4D"/>
    <w:rsid w:val="008D108E"/>
    <w:rsid w:val="008D48A4"/>
    <w:rsid w:val="008E0679"/>
    <w:rsid w:val="0090231E"/>
    <w:rsid w:val="00917FEF"/>
    <w:rsid w:val="00923E8D"/>
    <w:rsid w:val="009549BD"/>
    <w:rsid w:val="00960342"/>
    <w:rsid w:val="009758EF"/>
    <w:rsid w:val="00984E62"/>
    <w:rsid w:val="009A2E06"/>
    <w:rsid w:val="009B1F91"/>
    <w:rsid w:val="009B2E35"/>
    <w:rsid w:val="009C123E"/>
    <w:rsid w:val="009D4845"/>
    <w:rsid w:val="009E3365"/>
    <w:rsid w:val="00A3643D"/>
    <w:rsid w:val="00A41C9B"/>
    <w:rsid w:val="00A5298A"/>
    <w:rsid w:val="00A71912"/>
    <w:rsid w:val="00A7274B"/>
    <w:rsid w:val="00A77EA7"/>
    <w:rsid w:val="00A9149B"/>
    <w:rsid w:val="00AA390E"/>
    <w:rsid w:val="00AA63F9"/>
    <w:rsid w:val="00AA793A"/>
    <w:rsid w:val="00AB1003"/>
    <w:rsid w:val="00AB6062"/>
    <w:rsid w:val="00AC63B7"/>
    <w:rsid w:val="00AE130B"/>
    <w:rsid w:val="00AE4DA3"/>
    <w:rsid w:val="00AE5C59"/>
    <w:rsid w:val="00AF0521"/>
    <w:rsid w:val="00AF3811"/>
    <w:rsid w:val="00AF7EFA"/>
    <w:rsid w:val="00B01B50"/>
    <w:rsid w:val="00B10E35"/>
    <w:rsid w:val="00B14768"/>
    <w:rsid w:val="00B3294F"/>
    <w:rsid w:val="00B4366D"/>
    <w:rsid w:val="00B43C64"/>
    <w:rsid w:val="00B501E8"/>
    <w:rsid w:val="00B52C0A"/>
    <w:rsid w:val="00B56732"/>
    <w:rsid w:val="00B56997"/>
    <w:rsid w:val="00B579ED"/>
    <w:rsid w:val="00B61ADA"/>
    <w:rsid w:val="00B647B9"/>
    <w:rsid w:val="00B66E42"/>
    <w:rsid w:val="00B67D92"/>
    <w:rsid w:val="00B737BD"/>
    <w:rsid w:val="00B836EC"/>
    <w:rsid w:val="00B8741A"/>
    <w:rsid w:val="00B92F78"/>
    <w:rsid w:val="00BB424F"/>
    <w:rsid w:val="00BB77DA"/>
    <w:rsid w:val="00BC2C59"/>
    <w:rsid w:val="00BE4FDE"/>
    <w:rsid w:val="00BF5F7B"/>
    <w:rsid w:val="00C01D89"/>
    <w:rsid w:val="00C02983"/>
    <w:rsid w:val="00C07131"/>
    <w:rsid w:val="00C07A7E"/>
    <w:rsid w:val="00C12305"/>
    <w:rsid w:val="00C5154F"/>
    <w:rsid w:val="00C5722B"/>
    <w:rsid w:val="00C6325B"/>
    <w:rsid w:val="00C7073F"/>
    <w:rsid w:val="00C71E6C"/>
    <w:rsid w:val="00C77362"/>
    <w:rsid w:val="00C82854"/>
    <w:rsid w:val="00C84C7C"/>
    <w:rsid w:val="00C94462"/>
    <w:rsid w:val="00CA2692"/>
    <w:rsid w:val="00CA6707"/>
    <w:rsid w:val="00CB6F06"/>
    <w:rsid w:val="00CD3F7E"/>
    <w:rsid w:val="00CD4CCF"/>
    <w:rsid w:val="00CD5895"/>
    <w:rsid w:val="00CE2220"/>
    <w:rsid w:val="00CE716C"/>
    <w:rsid w:val="00CF322D"/>
    <w:rsid w:val="00CF3D4B"/>
    <w:rsid w:val="00CF6319"/>
    <w:rsid w:val="00D03A9A"/>
    <w:rsid w:val="00D2010C"/>
    <w:rsid w:val="00D22081"/>
    <w:rsid w:val="00D27BDC"/>
    <w:rsid w:val="00D433B8"/>
    <w:rsid w:val="00D43D35"/>
    <w:rsid w:val="00D61047"/>
    <w:rsid w:val="00D63E49"/>
    <w:rsid w:val="00D67AE9"/>
    <w:rsid w:val="00D842DB"/>
    <w:rsid w:val="00D84F8D"/>
    <w:rsid w:val="00D86370"/>
    <w:rsid w:val="00D94923"/>
    <w:rsid w:val="00D95499"/>
    <w:rsid w:val="00DA539D"/>
    <w:rsid w:val="00DB58B5"/>
    <w:rsid w:val="00DC3AD4"/>
    <w:rsid w:val="00DC6F24"/>
    <w:rsid w:val="00DD2646"/>
    <w:rsid w:val="00DD671A"/>
    <w:rsid w:val="00DE460C"/>
    <w:rsid w:val="00E0333E"/>
    <w:rsid w:val="00E076B3"/>
    <w:rsid w:val="00E13C99"/>
    <w:rsid w:val="00E13E47"/>
    <w:rsid w:val="00E16492"/>
    <w:rsid w:val="00E17934"/>
    <w:rsid w:val="00E4261D"/>
    <w:rsid w:val="00E42F05"/>
    <w:rsid w:val="00E55C3D"/>
    <w:rsid w:val="00E571D6"/>
    <w:rsid w:val="00E716F7"/>
    <w:rsid w:val="00E7187A"/>
    <w:rsid w:val="00E72401"/>
    <w:rsid w:val="00E91AEB"/>
    <w:rsid w:val="00E92E3F"/>
    <w:rsid w:val="00EA0C27"/>
    <w:rsid w:val="00EA554A"/>
    <w:rsid w:val="00EB2BA9"/>
    <w:rsid w:val="00EB69BE"/>
    <w:rsid w:val="00EC64C6"/>
    <w:rsid w:val="00EC6A46"/>
    <w:rsid w:val="00ED0B8B"/>
    <w:rsid w:val="00ED1A5D"/>
    <w:rsid w:val="00ED2AA1"/>
    <w:rsid w:val="00ED3903"/>
    <w:rsid w:val="00ED7938"/>
    <w:rsid w:val="00EE77B9"/>
    <w:rsid w:val="00F02A0E"/>
    <w:rsid w:val="00F02CF8"/>
    <w:rsid w:val="00F0643D"/>
    <w:rsid w:val="00F11E66"/>
    <w:rsid w:val="00F231C5"/>
    <w:rsid w:val="00F26384"/>
    <w:rsid w:val="00F32C05"/>
    <w:rsid w:val="00F57161"/>
    <w:rsid w:val="00F60347"/>
    <w:rsid w:val="00F7053F"/>
    <w:rsid w:val="00F8230D"/>
    <w:rsid w:val="00F91F43"/>
    <w:rsid w:val="00FA66D4"/>
    <w:rsid w:val="00FA7175"/>
    <w:rsid w:val="00FB2B28"/>
    <w:rsid w:val="00FB415E"/>
    <w:rsid w:val="00FD10CE"/>
    <w:rsid w:val="00FD67F9"/>
    <w:rsid w:val="00FE0A81"/>
    <w:rsid w:val="00FF6D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5E173"/>
  <w15:chartTrackingRefBased/>
  <w15:docId w15:val="{67C7AE41-6FEB-3B4C-9654-14ED89D0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6E42"/>
    <w:pPr>
      <w:widowControl/>
      <w:spacing w:before="100" w:beforeAutospacing="1" w:after="100" w:afterAutospacing="1"/>
      <w:jc w:val="left"/>
    </w:pPr>
    <w:rPr>
      <w:rFonts w:ascii="SimSun" w:eastAsia="SimSun" w:hAnsi="SimSun" w:cs="SimSun"/>
      <w:kern w:val="0"/>
      <w:sz w:val="24"/>
    </w:rPr>
  </w:style>
  <w:style w:type="character" w:styleId="Strong">
    <w:name w:val="Strong"/>
    <w:basedOn w:val="DefaultParagraphFont"/>
    <w:uiPriority w:val="22"/>
    <w:qFormat/>
    <w:rsid w:val="00B66E42"/>
    <w:rPr>
      <w:b/>
      <w:bCs/>
    </w:rPr>
  </w:style>
  <w:style w:type="paragraph" w:styleId="BalloonText">
    <w:name w:val="Balloon Text"/>
    <w:basedOn w:val="Normal"/>
    <w:link w:val="BalloonTextChar"/>
    <w:uiPriority w:val="99"/>
    <w:semiHidden/>
    <w:unhideWhenUsed/>
    <w:rsid w:val="00EE77B9"/>
    <w:rPr>
      <w:rFonts w:ascii="SimSun" w:eastAsia="SimSun"/>
      <w:sz w:val="18"/>
      <w:szCs w:val="18"/>
    </w:rPr>
  </w:style>
  <w:style w:type="character" w:customStyle="1" w:styleId="BalloonTextChar">
    <w:name w:val="Balloon Text Char"/>
    <w:basedOn w:val="DefaultParagraphFont"/>
    <w:link w:val="BalloonText"/>
    <w:uiPriority w:val="99"/>
    <w:semiHidden/>
    <w:rsid w:val="00EE77B9"/>
    <w:rPr>
      <w:rFonts w:ascii="SimSun" w:eastAsia="SimSun"/>
      <w:sz w:val="18"/>
      <w:szCs w:val="18"/>
    </w:rPr>
  </w:style>
  <w:style w:type="paragraph" w:styleId="HTMLPreformatted">
    <w:name w:val="HTML Preformatted"/>
    <w:basedOn w:val="Normal"/>
    <w:link w:val="HTMLPreformattedChar"/>
    <w:uiPriority w:val="99"/>
    <w:unhideWhenUsed/>
    <w:rsid w:val="008003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rPr>
  </w:style>
  <w:style w:type="character" w:customStyle="1" w:styleId="HTMLPreformattedChar">
    <w:name w:val="HTML Preformatted Char"/>
    <w:basedOn w:val="DefaultParagraphFont"/>
    <w:link w:val="HTMLPreformatted"/>
    <w:uiPriority w:val="99"/>
    <w:rsid w:val="00800352"/>
    <w:rPr>
      <w:rFonts w:ascii="SimSun" w:eastAsia="SimSun" w:hAnsi="SimSun" w:cs="SimSun"/>
      <w:kern w:val="0"/>
      <w:sz w:val="24"/>
    </w:rPr>
  </w:style>
  <w:style w:type="character" w:styleId="CommentReference">
    <w:name w:val="annotation reference"/>
    <w:basedOn w:val="DefaultParagraphFont"/>
    <w:uiPriority w:val="99"/>
    <w:semiHidden/>
    <w:unhideWhenUsed/>
    <w:rsid w:val="00CE2220"/>
    <w:rPr>
      <w:sz w:val="16"/>
      <w:szCs w:val="16"/>
    </w:rPr>
  </w:style>
  <w:style w:type="paragraph" w:styleId="CommentText">
    <w:name w:val="annotation text"/>
    <w:basedOn w:val="Normal"/>
    <w:link w:val="CommentTextChar"/>
    <w:uiPriority w:val="99"/>
    <w:unhideWhenUsed/>
    <w:rsid w:val="00CE2220"/>
    <w:rPr>
      <w:sz w:val="20"/>
      <w:szCs w:val="20"/>
    </w:rPr>
  </w:style>
  <w:style w:type="character" w:customStyle="1" w:styleId="CommentTextChar">
    <w:name w:val="Comment Text Char"/>
    <w:basedOn w:val="DefaultParagraphFont"/>
    <w:link w:val="CommentText"/>
    <w:uiPriority w:val="99"/>
    <w:rsid w:val="00CE2220"/>
    <w:rPr>
      <w:sz w:val="20"/>
      <w:szCs w:val="20"/>
    </w:rPr>
  </w:style>
  <w:style w:type="paragraph" w:styleId="CommentSubject">
    <w:name w:val="annotation subject"/>
    <w:basedOn w:val="CommentText"/>
    <w:next w:val="CommentText"/>
    <w:link w:val="CommentSubjectChar"/>
    <w:uiPriority w:val="99"/>
    <w:semiHidden/>
    <w:unhideWhenUsed/>
    <w:rsid w:val="00CE2220"/>
    <w:rPr>
      <w:b/>
      <w:bCs/>
    </w:rPr>
  </w:style>
  <w:style w:type="character" w:customStyle="1" w:styleId="CommentSubjectChar">
    <w:name w:val="Comment Subject Char"/>
    <w:basedOn w:val="CommentTextChar"/>
    <w:link w:val="CommentSubject"/>
    <w:uiPriority w:val="99"/>
    <w:semiHidden/>
    <w:rsid w:val="00CE2220"/>
    <w:rPr>
      <w:b/>
      <w:bCs/>
      <w:sz w:val="20"/>
      <w:szCs w:val="20"/>
    </w:rPr>
  </w:style>
  <w:style w:type="paragraph" w:styleId="Footer">
    <w:name w:val="footer"/>
    <w:basedOn w:val="Normal"/>
    <w:link w:val="FooterChar"/>
    <w:uiPriority w:val="99"/>
    <w:unhideWhenUsed/>
    <w:rsid w:val="00CE2220"/>
    <w:pPr>
      <w:tabs>
        <w:tab w:val="center" w:pos="4513"/>
        <w:tab w:val="right" w:pos="9026"/>
      </w:tabs>
    </w:pPr>
  </w:style>
  <w:style w:type="character" w:customStyle="1" w:styleId="FooterChar">
    <w:name w:val="Footer Char"/>
    <w:basedOn w:val="DefaultParagraphFont"/>
    <w:link w:val="Footer"/>
    <w:uiPriority w:val="99"/>
    <w:rsid w:val="00CE2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267</Words>
  <Characters>1522</Characters>
  <Application>Microsoft Office Word</Application>
  <DocSecurity>0</DocSecurity>
  <Lines>12</Lines>
  <Paragraphs>3</Paragraphs>
  <ScaleCrop>false</ScaleCrop>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 郑</dc:creator>
  <cp:keywords/>
  <dc:description/>
  <cp:lastModifiedBy>McIver, Sandi</cp:lastModifiedBy>
  <cp:revision>2</cp:revision>
  <dcterms:created xsi:type="dcterms:W3CDTF">2025-09-13T03:31:00Z</dcterms:created>
  <dcterms:modified xsi:type="dcterms:W3CDTF">2025-09-13T03:31:00Z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4e7ec6cf,339da533,5f67e0ac</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2025-08-28T23:44:16Z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abafdd99-d8ec-4db0-890a-85fd640ccf80</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