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DFF7" w14:textId="5BEA7581" w:rsidR="00C11E1F" w:rsidRPr="00A86608" w:rsidRDefault="00CE4A6D" w:rsidP="00A8660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A6D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Supplementary</w:t>
      </w:r>
      <w:r w:rsidR="006E4B41" w:rsidRPr="00A866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materials</w:t>
      </w:r>
    </w:p>
    <w:p w14:paraId="335CB9B5" w14:textId="2270C8C6" w:rsidR="009A0C62" w:rsidRPr="00A86608" w:rsidRDefault="00CE4A6D" w:rsidP="00A86608">
      <w:pPr>
        <w:pStyle w:val="af6"/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A6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Supplementary</w:t>
      </w:r>
      <w:r w:rsidR="007501C1" w:rsidRPr="00750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0C6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Table 1</w:t>
      </w:r>
      <w:r w:rsidR="00A86608" w:rsidRPr="00A8660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. </w:t>
      </w:r>
      <w:r w:rsidR="009A0C6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Definition and interpretation of the ABC pathway for integrated care</w:t>
      </w:r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 xml:space="preserve">Page </w:t>
      </w:r>
      <w:r w:rsidR="001D6FA5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2</w:t>
      </w:r>
      <w:r w:rsidR="009A0C6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0E75A8A" w14:textId="0C0A959C" w:rsidR="00B80B2F" w:rsidRPr="00A86608" w:rsidRDefault="00CE4A6D" w:rsidP="00A86608">
      <w:pPr>
        <w:pStyle w:val="af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Supplementary</w:t>
      </w:r>
      <w:r w:rsidR="007501C1" w:rsidRPr="00750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0B2F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Table </w:t>
      </w:r>
      <w:r w:rsidR="009A0C6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A86608" w:rsidRPr="00A8660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. </w:t>
      </w:r>
      <w:r w:rsidR="00B80B2F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Baseline characteristics of the patients with atrial fibrillation </w:t>
      </w:r>
      <w:bookmarkStart w:id="0" w:name="OLE_LINK4"/>
      <w:r w:rsidR="00B80B2F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based on survival state at 12-month follow-up</w:t>
      </w:r>
      <w:bookmarkEnd w:id="0"/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 xml:space="preserve">Page </w:t>
      </w:r>
      <w:r w:rsidR="001D6FA5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3</w:t>
      </w:r>
      <w:r w:rsidR="00B90460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-</w:t>
      </w:r>
      <w:r w:rsidR="001D6FA5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4</w:t>
      </w:r>
      <w:r w:rsidR="00B80B2F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F285F07" w14:textId="66FEB132" w:rsidR="00C11E1F" w:rsidRPr="00A86608" w:rsidRDefault="00CE4A6D" w:rsidP="00A86608">
      <w:pPr>
        <w:pStyle w:val="af6"/>
        <w:widowControl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Supplementary</w:t>
      </w:r>
      <w:r w:rsidR="007501C1" w:rsidRPr="007501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E1D06">
        <w:rPr>
          <w:rFonts w:ascii="Times New Roman" w:hAnsi="Times New Roman" w:cs="Times New Roman"/>
          <w:color w:val="000000" w:themeColor="text1"/>
          <w:sz w:val="20"/>
          <w:szCs w:val="20"/>
        </w:rPr>
        <w:t>Figure</w:t>
      </w:r>
      <w:r w:rsidR="006E4B41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0C6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86608" w:rsidRPr="00A8660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. </w:t>
      </w:r>
      <w:r w:rsidR="000649A2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Participation rates of patients and their family members in patient education and group discussions</w:t>
      </w:r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B904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B90460" w:rsidRPr="00B90460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 xml:space="preserve">Page </w:t>
      </w:r>
      <w:r w:rsidR="001D6FA5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5</w:t>
      </w:r>
      <w:r w:rsidR="006E4B41" w:rsidRPr="00A8660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8A6ADA2" w14:textId="216446AE" w:rsidR="00F82D20" w:rsidRPr="001D6FA5" w:rsidRDefault="006E4B41" w:rsidP="00F82D20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364BC25" w14:textId="14B68991" w:rsidR="009A0C62" w:rsidRPr="00A219AC" w:rsidRDefault="00CE4A6D" w:rsidP="009A0C62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E4A6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lastRenderedPageBreak/>
        <w:t>Supplementary</w:t>
      </w:r>
      <w:r w:rsidR="006709F1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A0C62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1 </w:t>
      </w:r>
      <w:r w:rsidR="009A0C62" w:rsidRPr="002656B7">
        <w:rPr>
          <w:rFonts w:ascii="Times New Roman" w:hAnsi="Times New Roman" w:cs="Times New Roman"/>
          <w:color w:val="000000" w:themeColor="text1"/>
          <w:sz w:val="20"/>
          <w:szCs w:val="20"/>
        </w:rPr>
        <w:t>Definition and interpretation of the ABC pathway for integrated care</w:t>
      </w:r>
      <w:r w:rsidR="00A73D50" w:rsidRP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131"/>
        <w:gridCol w:w="4536"/>
      </w:tblGrid>
      <w:tr w:rsidR="00EF71D1" w:rsidRPr="00EF71D1" w14:paraId="531308A4" w14:textId="77777777" w:rsidTr="00EF71D1"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2A1FF" w14:textId="77777777" w:rsidR="00EF71D1" w:rsidRPr="002656B7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Criterion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D8337" w14:textId="77777777" w:rsidR="00EF71D1" w:rsidRPr="002656B7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Interpretation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F84B6" w14:textId="42287AC9" w:rsidR="00EF71D1" w:rsidRPr="002656B7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Definitions</w:t>
            </w:r>
          </w:p>
        </w:tc>
      </w:tr>
      <w:tr w:rsidR="00EF71D1" w:rsidRPr="00EF71D1" w14:paraId="59E1E3F2" w14:textId="77777777" w:rsidTr="00EF71D1">
        <w:tc>
          <w:tcPr>
            <w:tcW w:w="1550" w:type="dxa"/>
            <w:tcBorders>
              <w:top w:val="single" w:sz="4" w:space="0" w:color="auto"/>
              <w:left w:val="nil"/>
              <w:right w:val="nil"/>
            </w:tcBorders>
          </w:tcPr>
          <w:p w14:paraId="1C3F6335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 - Avoid stroke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right w:val="nil"/>
            </w:tcBorders>
          </w:tcPr>
          <w:p w14:paraId="46CDA3BF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Guideline adherent OACs treatment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5A0FB8C4" w14:textId="34F225E8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Patients with CHA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DS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-VASc score ≥ 1 if men or ≥ 2 if women receiving OACs and patients with CHA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DS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-VASc score = 0 if men or ≤ 1 if women not receiving OACs.</w:t>
            </w:r>
          </w:p>
          <w:p w14:paraId="28302400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The use of appropriate non-vitamin K antagonist OACs or, alternatively, warfarin with a TTR of ≥65%.</w:t>
            </w:r>
          </w:p>
        </w:tc>
      </w:tr>
      <w:tr w:rsidR="00EF71D1" w:rsidRPr="00EF71D1" w14:paraId="4BE9EF84" w14:textId="77777777" w:rsidTr="00EF71D1">
        <w:tc>
          <w:tcPr>
            <w:tcW w:w="1550" w:type="dxa"/>
            <w:tcBorders>
              <w:left w:val="nil"/>
              <w:right w:val="nil"/>
            </w:tcBorders>
          </w:tcPr>
          <w:p w14:paraId="49F2B3D9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B - Better symptoms control</w:t>
            </w: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7EEA6C1D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Actual AF symptoms control</w:t>
            </w: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02427E0A" w14:textId="7B035AD1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EHRA score of I or II</w:t>
            </w:r>
          </w:p>
        </w:tc>
      </w:tr>
      <w:tr w:rsidR="00EF71D1" w:rsidRPr="00EF71D1" w14:paraId="29C18D5D" w14:textId="77777777" w:rsidTr="00EF71D1">
        <w:tc>
          <w:tcPr>
            <w:tcW w:w="1550" w:type="dxa"/>
            <w:tcBorders>
              <w:left w:val="nil"/>
              <w:bottom w:val="single" w:sz="4" w:space="0" w:color="auto"/>
              <w:right w:val="nil"/>
            </w:tcBorders>
          </w:tcPr>
          <w:p w14:paraId="68968966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C - Cardiovascular risk and comorbidity optimization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nil"/>
            </w:tcBorders>
          </w:tcPr>
          <w:p w14:paraId="7221F4DB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Guideline adherent disease</w:t>
            </w:r>
            <w:r w:rsidRPr="00033FF1">
              <w:rPr>
                <w:rFonts w:ascii="Times New Roman" w:eastAsia="MS Gothic" w:hAnsi="Times New Roman"/>
                <w:color w:val="000000" w:themeColor="text1"/>
                <w:kern w:val="0"/>
                <w:sz w:val="20"/>
                <w:szCs w:val="20"/>
              </w:rPr>
              <w:t>‑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specific treatment of comorbidities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1BBB577E" w14:textId="411552A3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</w:t>
            </w:r>
            <w:proofErr w:type="spellStart"/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i</w:t>
            </w:r>
            <w:proofErr w:type="spellEnd"/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) rest blood pressure &lt;140/90 mmHg for hypertension,</w:t>
            </w:r>
          </w:p>
          <w:p w14:paraId="7D183FD5" w14:textId="3D819D3E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(ii) fasting blood glucose &lt;7.0 mmol/L for diabetes mellitus,</w:t>
            </w:r>
          </w:p>
          <w:p w14:paraId="2655BE06" w14:textId="574E1B6F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(iii) BMI &lt;30.0 kg/m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for obesity,</w:t>
            </w:r>
          </w:p>
          <w:p w14:paraId="4267B888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(iv) statins for arterial disease,</w:t>
            </w:r>
          </w:p>
          <w:p w14:paraId="201F16C5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(v) statins for previous stroke/TIA, and</w:t>
            </w:r>
          </w:p>
          <w:p w14:paraId="63B9437A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(vi) ACEI/ARB/ARNI for congestive heart failure, or</w:t>
            </w:r>
          </w:p>
          <w:p w14:paraId="555E9D33" w14:textId="77777777" w:rsidR="00EF71D1" w:rsidRPr="00033FF1" w:rsidRDefault="00EF71D1" w:rsidP="00D22B24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(vii) no management in case of no comorbidities.</w:t>
            </w:r>
          </w:p>
        </w:tc>
      </w:tr>
    </w:tbl>
    <w:p w14:paraId="0158E87A" w14:textId="0F1ADDAA" w:rsidR="009A0C62" w:rsidRPr="00245FF4" w:rsidRDefault="009A0C62" w:rsidP="009A0C6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ABC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atrial fibrillation better care; OACs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oral anticoagulants; TTR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time in therapeutic range; AF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atrial fibrillation; EHRA</w:t>
      </w:r>
      <w:bookmarkStart w:id="1" w:name="_Hlk172243576"/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European Heart Rhythm Association</w:t>
      </w:r>
      <w:bookmarkEnd w:id="1"/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; BMI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body mass index; TIA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transient ischemic attacks, ACEI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angiotensin-converting enzyme inhibitors; ARB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angiotensin receptor blockers; ARNI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angiotensin receptor neprilysin inhibitors.</w:t>
      </w:r>
    </w:p>
    <w:p w14:paraId="4ADB52EE" w14:textId="77777777" w:rsidR="009A0C62" w:rsidRPr="009A0C62" w:rsidRDefault="009A0C62" w:rsidP="009A0C62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90C5684" w14:textId="39C84C1A" w:rsidR="00C11E1F" w:rsidRPr="002656B7" w:rsidRDefault="00CE4A6D">
      <w:pPr>
        <w:widowControl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lastRenderedPageBreak/>
        <w:t>Supplementary</w:t>
      </w:r>
      <w:r w:rsidR="006709F1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6E4B41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</w:t>
      </w:r>
      <w:bookmarkStart w:id="2" w:name="OLE_LINK7"/>
      <w:r w:rsidR="009A0C62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6E4B41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bookmarkEnd w:id="2"/>
      <w:r w:rsidR="006E4B41" w:rsidRPr="002656B7">
        <w:rPr>
          <w:rFonts w:ascii="Times New Roman" w:hAnsi="Times New Roman" w:cs="Times New Roman"/>
          <w:color w:val="000000" w:themeColor="text1"/>
          <w:sz w:val="20"/>
          <w:szCs w:val="20"/>
        </w:rPr>
        <w:t>Baseline characteristics of the patients with atrial fibrillation based on survival state at 12-mont</w:t>
      </w:r>
      <w:r w:rsidR="00393D31" w:rsidRPr="002656B7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="00A73D50" w:rsidRP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34"/>
        <w:gridCol w:w="1341"/>
        <w:gridCol w:w="1194"/>
        <w:gridCol w:w="935"/>
      </w:tblGrid>
      <w:tr w:rsidR="00C11E1F" w:rsidRPr="00033FF1" w14:paraId="3D6154F7" w14:textId="77777777" w:rsidTr="00CD06E8">
        <w:tc>
          <w:tcPr>
            <w:tcW w:w="3402" w:type="dxa"/>
            <w:tcBorders>
              <w:bottom w:val="single" w:sz="4" w:space="0" w:color="auto"/>
            </w:tcBorders>
          </w:tcPr>
          <w:p w14:paraId="795FE0FD" w14:textId="77777777" w:rsidR="00C11E1F" w:rsidRPr="002656B7" w:rsidRDefault="006E4B41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Items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E2FC0A9" w14:textId="27BA1C32" w:rsidR="00C11E1F" w:rsidRPr="002656B7" w:rsidRDefault="006E4B41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Total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7821D9FB" w14:textId="60BAF7F8" w:rsidR="00C11E1F" w:rsidRPr="002656B7" w:rsidRDefault="006E4B41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Death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655D48F" w14:textId="4C110AB1" w:rsidR="00C11E1F" w:rsidRPr="002656B7" w:rsidRDefault="006E4B41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Survival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15C839E2" w14:textId="77777777" w:rsidR="00C11E1F" w:rsidRPr="002656B7" w:rsidRDefault="006E4B41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value</w:t>
            </w:r>
          </w:p>
        </w:tc>
      </w:tr>
      <w:tr w:rsidR="009F6CF2" w:rsidRPr="00033FF1" w14:paraId="07CD5DD7" w14:textId="77777777" w:rsidTr="00CD06E8">
        <w:tc>
          <w:tcPr>
            <w:tcW w:w="3402" w:type="dxa"/>
            <w:tcBorders>
              <w:bottom w:val="nil"/>
            </w:tcBorders>
          </w:tcPr>
          <w:p w14:paraId="670054D5" w14:textId="339331B6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No.</w:t>
            </w:r>
          </w:p>
        </w:tc>
        <w:tc>
          <w:tcPr>
            <w:tcW w:w="1434" w:type="dxa"/>
            <w:tcBorders>
              <w:bottom w:val="nil"/>
            </w:tcBorders>
          </w:tcPr>
          <w:p w14:paraId="12C364B8" w14:textId="387E3A47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810</w:t>
            </w:r>
          </w:p>
        </w:tc>
        <w:tc>
          <w:tcPr>
            <w:tcW w:w="1341" w:type="dxa"/>
            <w:tcBorders>
              <w:bottom w:val="nil"/>
            </w:tcBorders>
          </w:tcPr>
          <w:p w14:paraId="6CFBAB8D" w14:textId="41A785D5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194" w:type="dxa"/>
            <w:tcBorders>
              <w:bottom w:val="nil"/>
            </w:tcBorders>
          </w:tcPr>
          <w:p w14:paraId="0DF12FB8" w14:textId="7666C430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769</w:t>
            </w:r>
          </w:p>
        </w:tc>
        <w:tc>
          <w:tcPr>
            <w:tcW w:w="935" w:type="dxa"/>
            <w:tcBorders>
              <w:bottom w:val="nil"/>
            </w:tcBorders>
          </w:tcPr>
          <w:p w14:paraId="78C0641B" w14:textId="77777777" w:rsidR="009F6CF2" w:rsidRPr="00033FF1" w:rsidRDefault="009F6CF2" w:rsidP="009F6CF2">
            <w:pPr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6CF2" w:rsidRPr="00033FF1" w14:paraId="1E1F4A5B" w14:textId="77777777" w:rsidTr="00CD06E8">
        <w:tc>
          <w:tcPr>
            <w:tcW w:w="3402" w:type="dxa"/>
            <w:tcBorders>
              <w:top w:val="nil"/>
              <w:bottom w:val="nil"/>
            </w:tcBorders>
          </w:tcPr>
          <w:p w14:paraId="5A05549B" w14:textId="77777777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Women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98BA616" w14:textId="32A3E2B6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416 (51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D6F636D" w14:textId="4C219AF6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27 (65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546005F" w14:textId="56D859A4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389 (50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9892A0E" w14:textId="5A8405DB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057</w:t>
            </w:r>
          </w:p>
        </w:tc>
      </w:tr>
      <w:tr w:rsidR="009F6CF2" w:rsidRPr="00033FF1" w14:paraId="1C95B28C" w14:textId="77777777">
        <w:tc>
          <w:tcPr>
            <w:tcW w:w="3402" w:type="dxa"/>
            <w:tcBorders>
              <w:top w:val="nil"/>
              <w:bottom w:val="nil"/>
            </w:tcBorders>
          </w:tcPr>
          <w:p w14:paraId="317454DC" w14:textId="029F57F7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Age, years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6E8408E" w14:textId="1DBBDF4A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76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1±5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2701701D" w14:textId="2360228C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0±5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D36CAEB" w14:textId="410EBD0A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76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1±5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A139707" w14:textId="0BE2B3E6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045</w:t>
            </w:r>
          </w:p>
        </w:tc>
      </w:tr>
      <w:tr w:rsidR="009F6CF2" w:rsidRPr="00033FF1" w14:paraId="016FEC3D" w14:textId="77777777">
        <w:tc>
          <w:tcPr>
            <w:tcW w:w="3402" w:type="dxa"/>
            <w:tcBorders>
              <w:top w:val="nil"/>
              <w:bottom w:val="nil"/>
            </w:tcBorders>
          </w:tcPr>
          <w:p w14:paraId="35EF77E2" w14:textId="77777777" w:rsidR="009F6CF2" w:rsidRPr="00033FF1" w:rsidRDefault="009F6CF2" w:rsidP="009F6CF2">
            <w:pPr>
              <w:ind w:firstLineChars="100" w:firstLine="20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≥75 years old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ED6D678" w14:textId="397F082F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477 (58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2EE8A5E" w14:textId="4C626D9C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28 (68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43F0AA6" w14:textId="4D8C66EF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449 (58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1883542" w14:textId="5C910149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</w:tr>
      <w:tr w:rsidR="009F6CF2" w:rsidRPr="00033FF1" w14:paraId="79E3835F" w14:textId="77777777">
        <w:tc>
          <w:tcPr>
            <w:tcW w:w="3402" w:type="dxa"/>
            <w:tcBorders>
              <w:top w:val="nil"/>
              <w:bottom w:val="nil"/>
            </w:tcBorders>
          </w:tcPr>
          <w:p w14:paraId="3DC689AC" w14:textId="26E5970B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Systolic blood pressure, mmHg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49C5718" w14:textId="3D55C1C3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138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8±21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7CC5D6DB" w14:textId="2DB82490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140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5±22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CD09707" w14:textId="34F3459B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138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7±21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93ED0F7" w14:textId="7A938EEA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687</w:t>
            </w:r>
          </w:p>
        </w:tc>
      </w:tr>
      <w:tr w:rsidR="009F6CF2" w:rsidRPr="00033FF1" w14:paraId="20ED25A2" w14:textId="77777777">
        <w:tc>
          <w:tcPr>
            <w:tcW w:w="3402" w:type="dxa"/>
            <w:tcBorders>
              <w:top w:val="nil"/>
              <w:bottom w:val="nil"/>
            </w:tcBorders>
          </w:tcPr>
          <w:p w14:paraId="2833C63B" w14:textId="50E03DFD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Diastolic blood pressure, mmHg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5487C81" w14:textId="1BF43842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84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1±14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28DD4E1C" w14:textId="312AE4C1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84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5±11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D0A5B91" w14:textId="1B8F7749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84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0±14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167A9E3" w14:textId="4EB99471" w:rsidR="009F6CF2" w:rsidRPr="00033FF1" w:rsidRDefault="009F6CF2" w:rsidP="009F6CF2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</w:t>
            </w:r>
            <w:r w:rsidR="002C5056"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887</w:t>
            </w:r>
          </w:p>
        </w:tc>
      </w:tr>
      <w:tr w:rsidR="00283946" w:rsidRPr="00033FF1" w14:paraId="688D35FE" w14:textId="77777777">
        <w:tc>
          <w:tcPr>
            <w:tcW w:w="3402" w:type="dxa"/>
            <w:tcBorders>
              <w:top w:val="nil"/>
              <w:bottom w:val="nil"/>
            </w:tcBorders>
          </w:tcPr>
          <w:p w14:paraId="44C98C39" w14:textId="45B6E734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Heart rate, beats/min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3152E6B" w14:textId="5C9921B0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82.3±15.1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EA26BD4" w14:textId="462487F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77.6±13.4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80F7D43" w14:textId="1F96293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82.4±15.2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5452445" w14:textId="4EC7C260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0.350</w:t>
            </w:r>
          </w:p>
        </w:tc>
      </w:tr>
      <w:tr w:rsidR="00283946" w:rsidRPr="00033FF1" w14:paraId="17484E0F" w14:textId="77777777">
        <w:tc>
          <w:tcPr>
            <w:tcW w:w="3402" w:type="dxa"/>
            <w:tcBorders>
              <w:top w:val="nil"/>
              <w:bottom w:val="nil"/>
            </w:tcBorders>
          </w:tcPr>
          <w:p w14:paraId="0C5D43B1" w14:textId="17DEFB14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Fasting blood glucose, mmol/L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0FA9EC9" w14:textId="3679B80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6.2±1.7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9AA7BC8" w14:textId="3FEF8DBA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6.9±2.3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C5B7DBF" w14:textId="559B3B8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6.2±1.6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CF3FD46" w14:textId="6370F6DD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0.060</w:t>
            </w:r>
          </w:p>
        </w:tc>
      </w:tr>
      <w:tr w:rsidR="00283946" w:rsidRPr="00033FF1" w14:paraId="7CDC7B67" w14:textId="77777777">
        <w:tc>
          <w:tcPr>
            <w:tcW w:w="3402" w:type="dxa"/>
            <w:tcBorders>
              <w:top w:val="nil"/>
              <w:bottom w:val="nil"/>
            </w:tcBorders>
          </w:tcPr>
          <w:p w14:paraId="4BE750F1" w14:textId="222393B8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Body mass index, kg/m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per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4190FF0" w14:textId="6BA39D10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24.5±3.6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0850A42" w14:textId="3666263A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23.7±2.5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AE755ED" w14:textId="3F1E4DF0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24.5±3.6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7D837AB" w14:textId="1DB2265A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0.313</w:t>
            </w:r>
          </w:p>
        </w:tc>
      </w:tr>
      <w:tr w:rsidR="00283946" w:rsidRPr="00033FF1" w14:paraId="2128E18E" w14:textId="77777777">
        <w:tc>
          <w:tcPr>
            <w:tcW w:w="3402" w:type="dxa"/>
            <w:tcBorders>
              <w:top w:val="nil"/>
              <w:bottom w:val="nil"/>
            </w:tcBorders>
          </w:tcPr>
          <w:p w14:paraId="317707EB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Known AF history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E77929F" w14:textId="0A8A4E4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402 (49.6)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0C40A5D9" w14:textId="163A66C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 (14.6)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7271F45" w14:textId="743DC15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396 (51.5)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2E75EB4" w14:textId="297281A8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283946" w:rsidRPr="00033FF1" w14:paraId="455D1E33" w14:textId="77777777">
        <w:tc>
          <w:tcPr>
            <w:tcW w:w="3402" w:type="dxa"/>
            <w:tcBorders>
              <w:top w:val="nil"/>
              <w:bottom w:val="nil"/>
            </w:tcBorders>
          </w:tcPr>
          <w:p w14:paraId="3861C6F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ABC pathway compliance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A1B15C0" w14:textId="7020A0E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14 (1.7)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C1E31AE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0(0)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D64AC43" w14:textId="0BF723F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14 (1.8)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A316E31" w14:textId="31F3633E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1.000</w:t>
            </w:r>
          </w:p>
        </w:tc>
      </w:tr>
      <w:tr w:rsidR="00283946" w:rsidRPr="00033FF1" w14:paraId="561E93CC" w14:textId="77777777">
        <w:tc>
          <w:tcPr>
            <w:tcW w:w="3402" w:type="dxa"/>
            <w:tcBorders>
              <w:top w:val="nil"/>
              <w:bottom w:val="nil"/>
            </w:tcBorders>
          </w:tcPr>
          <w:p w14:paraId="205C608C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F0A26B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3493A84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FAAA71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0D9299E" w14:textId="7DE7906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0.125</w:t>
            </w:r>
          </w:p>
        </w:tc>
      </w:tr>
      <w:tr w:rsidR="00283946" w:rsidRPr="00033FF1" w14:paraId="4E395F11" w14:textId="77777777">
        <w:tc>
          <w:tcPr>
            <w:tcW w:w="3402" w:type="dxa"/>
            <w:tcBorders>
              <w:top w:val="nil"/>
              <w:bottom w:val="nil"/>
            </w:tcBorders>
          </w:tcPr>
          <w:p w14:paraId="6E18ED9F" w14:textId="77777777" w:rsidR="00283946" w:rsidRPr="00033FF1" w:rsidRDefault="00283946" w:rsidP="00283946">
            <w:pPr>
              <w:ind w:firstLineChars="50" w:firstLine="10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Married/Remarried/Cohabitation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D60D7E9" w14:textId="47D860B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525 (64.8)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747D5E5" w14:textId="64930A7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22 (53.7)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9E57A46" w14:textId="19DCDBF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503 (65.4)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3909F3B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1E55D760" w14:textId="77777777">
        <w:tc>
          <w:tcPr>
            <w:tcW w:w="3402" w:type="dxa"/>
            <w:tcBorders>
              <w:top w:val="nil"/>
              <w:bottom w:val="nil"/>
            </w:tcBorders>
          </w:tcPr>
          <w:p w14:paraId="0A00F7B4" w14:textId="17974C6A" w:rsidR="00283946" w:rsidRPr="00033FF1" w:rsidRDefault="00283946" w:rsidP="00283946">
            <w:pPr>
              <w:ind w:firstLineChars="50" w:firstLine="10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Unmarried/Divorced/Widowed/Separated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22B76C6" w14:textId="4D37D5A3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285 (35.2)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38788796" w14:textId="4474702C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19 (46.3)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2F6506D" w14:textId="193877AC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266 (34.6))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E780B4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7FFEF301" w14:textId="77777777">
        <w:tc>
          <w:tcPr>
            <w:tcW w:w="3402" w:type="dxa"/>
            <w:tcBorders>
              <w:top w:val="nil"/>
              <w:bottom w:val="nil"/>
            </w:tcBorders>
          </w:tcPr>
          <w:p w14:paraId="5E8946C6" w14:textId="15B49074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Living with adult children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36CF411" w14:textId="77AAAC7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66 (8.1)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5DC1DB9" w14:textId="00C750E9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 (4.9)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86D0B1D" w14:textId="7C4370C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64 (8.3)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A502742" w14:textId="1D439E12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0.767</w:t>
            </w:r>
          </w:p>
        </w:tc>
      </w:tr>
      <w:tr w:rsidR="00283946" w:rsidRPr="00033FF1" w14:paraId="7D650B63" w14:textId="77777777">
        <w:tc>
          <w:tcPr>
            <w:tcW w:w="3402" w:type="dxa"/>
            <w:tcBorders>
              <w:top w:val="nil"/>
              <w:bottom w:val="nil"/>
            </w:tcBorders>
          </w:tcPr>
          <w:p w14:paraId="5E343EE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Medical insurance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5E63F6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612D9CB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DE3370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0C414F7" w14:textId="03ED7FF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1.000</w:t>
            </w:r>
          </w:p>
        </w:tc>
      </w:tr>
      <w:tr w:rsidR="00283946" w:rsidRPr="00033FF1" w14:paraId="0B975EFD" w14:textId="77777777">
        <w:tc>
          <w:tcPr>
            <w:tcW w:w="3402" w:type="dxa"/>
            <w:tcBorders>
              <w:top w:val="nil"/>
              <w:bottom w:val="nil"/>
            </w:tcBorders>
          </w:tcPr>
          <w:p w14:paraId="2872D5F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Rural cooperative medical insurance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8884E68" w14:textId="6A92451D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795 (98.1)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0034E385" w14:textId="2743F55C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41 (100.0)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80922D6" w14:textId="3312D16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754 (98.0)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618A2417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21E9198D" w14:textId="77777777">
        <w:tc>
          <w:tcPr>
            <w:tcW w:w="3402" w:type="dxa"/>
            <w:tcBorders>
              <w:top w:val="nil"/>
              <w:bottom w:val="nil"/>
            </w:tcBorders>
          </w:tcPr>
          <w:p w14:paraId="4923D5E5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Employee basic medical insurance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ED17EB1" w14:textId="4341368D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15 (1.9)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45F6379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1BFC69F" w14:textId="3C146B0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15 (2.0)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53373AB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638D6F06" w14:textId="77777777">
        <w:tc>
          <w:tcPr>
            <w:tcW w:w="3402" w:type="dxa"/>
            <w:tcBorders>
              <w:top w:val="nil"/>
              <w:bottom w:val="nil"/>
            </w:tcBorders>
          </w:tcPr>
          <w:p w14:paraId="0685F31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Income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BCA9988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0670E5C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42ACD7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691847F5" w14:textId="72C8C90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0.337</w:t>
            </w:r>
          </w:p>
        </w:tc>
      </w:tr>
      <w:tr w:rsidR="00283946" w:rsidRPr="00033FF1" w14:paraId="2B38A7E2" w14:textId="77777777">
        <w:tc>
          <w:tcPr>
            <w:tcW w:w="3402" w:type="dxa"/>
            <w:tcBorders>
              <w:top w:val="nil"/>
              <w:bottom w:val="nil"/>
            </w:tcBorders>
          </w:tcPr>
          <w:p w14:paraId="43E91E0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No income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132057A" w14:textId="0209BAFA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381 (47.0)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708FABA" w14:textId="7B99ABC1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16 (39.0)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E879082" w14:textId="47EB6108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365 (47.5)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1BF8407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08FA59FF" w14:textId="77777777">
        <w:tc>
          <w:tcPr>
            <w:tcW w:w="3402" w:type="dxa"/>
            <w:tcBorders>
              <w:top w:val="nil"/>
              <w:bottom w:val="nil"/>
            </w:tcBorders>
          </w:tcPr>
          <w:p w14:paraId="378D4A7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Retirement pension/house renting/ government subsidy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6DAA84" w14:textId="2407841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429 (53.0)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04335F27" w14:textId="22767084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25 (61.0)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1D5FC70" w14:textId="5CDED2D3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404 (52.5)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942210A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64341152" w14:textId="77777777">
        <w:tc>
          <w:tcPr>
            <w:tcW w:w="3402" w:type="dxa"/>
            <w:tcBorders>
              <w:top w:val="nil"/>
              <w:bottom w:val="nil"/>
            </w:tcBorders>
          </w:tcPr>
          <w:p w14:paraId="075B4B8E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Use of smart phone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46E37BD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235D2D7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8A720D3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EA327A0" w14:textId="2DE90F63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0.205</w:t>
            </w:r>
          </w:p>
        </w:tc>
      </w:tr>
      <w:tr w:rsidR="00283946" w:rsidRPr="00033FF1" w14:paraId="3784EE1A" w14:textId="77777777">
        <w:tc>
          <w:tcPr>
            <w:tcW w:w="3402" w:type="dxa"/>
            <w:tcBorders>
              <w:top w:val="nil"/>
              <w:bottom w:val="nil"/>
            </w:tcBorders>
          </w:tcPr>
          <w:p w14:paraId="3C895BB8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No mobile phone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C906F04" w14:textId="5AF9A4E4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361 (44.6)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4BFFF01A" w14:textId="0D58F043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22 (53.7)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4AAF4D4" w14:textId="089224CE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339 (44.1)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D7F4BA0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181D42CF" w14:textId="77777777">
        <w:tc>
          <w:tcPr>
            <w:tcW w:w="3402" w:type="dxa"/>
            <w:tcBorders>
              <w:top w:val="nil"/>
              <w:bottom w:val="nil"/>
            </w:tcBorders>
          </w:tcPr>
          <w:p w14:paraId="01AF1F0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Smartphone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646499A" w14:textId="6E32CDFD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42 (5.2)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41826EAA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3DC58CF" w14:textId="040CB25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42 (5.5)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747C9F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68895E9B" w14:textId="77777777">
        <w:tc>
          <w:tcPr>
            <w:tcW w:w="3402" w:type="dxa"/>
            <w:tcBorders>
              <w:top w:val="nil"/>
              <w:bottom w:val="nil"/>
            </w:tcBorders>
          </w:tcPr>
          <w:p w14:paraId="3598CCC0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Non-smartphone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1F3BB84" w14:textId="39DAE24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407 (50.2)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3E6D81A8" w14:textId="28913A72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19 (46.3)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A13E78C" w14:textId="3913284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388 (50.5)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8A68D5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63405BC3" w14:textId="77777777">
        <w:tc>
          <w:tcPr>
            <w:tcW w:w="3402" w:type="dxa"/>
            <w:tcBorders>
              <w:top w:val="nil"/>
              <w:bottom w:val="nil"/>
            </w:tcBorders>
          </w:tcPr>
          <w:p w14:paraId="38352696" w14:textId="549A0CD2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Smartphone applications use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A160EFF" w14:textId="51D5ABC9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21 (2.6)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6B4A49EA" w14:textId="04E1AF0B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C028AD3" w14:textId="70E9959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21 (2.7)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8947B06" w14:textId="0395EA7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0.619</w:t>
            </w:r>
          </w:p>
        </w:tc>
      </w:tr>
      <w:tr w:rsidR="00283946" w:rsidRPr="00033FF1" w14:paraId="5E66A1CE" w14:textId="77777777">
        <w:tc>
          <w:tcPr>
            <w:tcW w:w="3402" w:type="dxa"/>
            <w:tcBorders>
              <w:top w:val="nil"/>
              <w:bottom w:val="nil"/>
            </w:tcBorders>
          </w:tcPr>
          <w:p w14:paraId="78FF40E3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36949D6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29427CD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6BD40AA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566A8CD" w14:textId="40D856B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0.458</w:t>
            </w:r>
          </w:p>
        </w:tc>
      </w:tr>
      <w:tr w:rsidR="00283946" w:rsidRPr="00033FF1" w14:paraId="40E42982" w14:textId="77777777">
        <w:tc>
          <w:tcPr>
            <w:tcW w:w="3402" w:type="dxa"/>
            <w:tcBorders>
              <w:top w:val="nil"/>
              <w:bottom w:val="nil"/>
            </w:tcBorders>
          </w:tcPr>
          <w:p w14:paraId="225A33CE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Below primary school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98222C0" w14:textId="3DA638E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417 (51.5)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07C1371" w14:textId="6CF2026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25 (61.0)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3029AEA" w14:textId="56DC98E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392 (51.0)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5FDB3B7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066EA7B4" w14:textId="77777777">
        <w:tc>
          <w:tcPr>
            <w:tcW w:w="3402" w:type="dxa"/>
            <w:tcBorders>
              <w:top w:val="nil"/>
              <w:bottom w:val="nil"/>
            </w:tcBorders>
          </w:tcPr>
          <w:p w14:paraId="0C19294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Primary school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C518CD1" w14:textId="78A3DA8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321 (39.6)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F9409B7" w14:textId="358100C0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13 (31.7)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D457884" w14:textId="6308F959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308 (40.1)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3D2D1AEC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6EC143BD" w14:textId="77777777">
        <w:tc>
          <w:tcPr>
            <w:tcW w:w="3402" w:type="dxa"/>
            <w:tcBorders>
              <w:top w:val="nil"/>
              <w:bottom w:val="nil"/>
            </w:tcBorders>
          </w:tcPr>
          <w:p w14:paraId="5E24614E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Middle and High school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4B5E107" w14:textId="36A290FD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62 (7.7)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40868E67" w14:textId="16AC32B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 (7.3)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511DC7D" w14:textId="2D44C218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69 (7.9)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9445D70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4FCD7DC8" w14:textId="77777777">
        <w:tc>
          <w:tcPr>
            <w:tcW w:w="3402" w:type="dxa"/>
            <w:tcBorders>
              <w:top w:val="nil"/>
              <w:bottom w:val="nil"/>
            </w:tcBorders>
          </w:tcPr>
          <w:p w14:paraId="07509064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8C00101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38F35170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98819DD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25552DDF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3946" w:rsidRPr="00033FF1" w14:paraId="7AB9506C" w14:textId="77777777">
        <w:tc>
          <w:tcPr>
            <w:tcW w:w="3402" w:type="dxa"/>
            <w:tcBorders>
              <w:top w:val="nil"/>
              <w:bottom w:val="nil"/>
            </w:tcBorders>
          </w:tcPr>
          <w:p w14:paraId="195F3D39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Hypertension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5BC65D5" w14:textId="6C04A9B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575 (71.0)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579B8A13" w14:textId="4E8E6C4A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24 (58.5)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50CD1C0" w14:textId="6BB57C96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551 (71.7)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57D753DE" w14:textId="4C651585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0.071</w:t>
            </w:r>
          </w:p>
        </w:tc>
      </w:tr>
      <w:tr w:rsidR="00283946" w:rsidRPr="00033FF1" w14:paraId="1829D7E0" w14:textId="77777777">
        <w:tc>
          <w:tcPr>
            <w:tcW w:w="3402" w:type="dxa"/>
            <w:tcBorders>
              <w:top w:val="nil"/>
              <w:bottom w:val="nil"/>
            </w:tcBorders>
          </w:tcPr>
          <w:p w14:paraId="324F4B34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Diabetes mellitus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704C90F" w14:textId="1853AEA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195 (24.1)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7DA1FCA4" w14:textId="7367D16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10 (24.4)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A66289F" w14:textId="0A20329F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185 (24.1)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C313E24" w14:textId="692EC77C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0.961</w:t>
            </w:r>
          </w:p>
        </w:tc>
      </w:tr>
      <w:tr w:rsidR="00283946" w:rsidRPr="00033FF1" w14:paraId="2D7F1A46" w14:textId="77777777">
        <w:tc>
          <w:tcPr>
            <w:tcW w:w="3402" w:type="dxa"/>
            <w:tcBorders>
              <w:top w:val="nil"/>
              <w:bottom w:val="nil"/>
            </w:tcBorders>
          </w:tcPr>
          <w:p w14:paraId="184B7C54" w14:textId="77777777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Stroke or TIA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2ED4EBA" w14:textId="3C7E127E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34 (4.2)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04F1EF7E" w14:textId="2B576DD9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 (4.9)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07D77E9" w14:textId="1966392E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32 (4.2)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86DF5E4" w14:textId="4D615658" w:rsidR="00283946" w:rsidRPr="00033FF1" w:rsidRDefault="00283946" w:rsidP="00283946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0.688</w:t>
            </w:r>
          </w:p>
        </w:tc>
      </w:tr>
    </w:tbl>
    <w:p w14:paraId="5FAC0F01" w14:textId="20613555" w:rsidR="00B1140A" w:rsidRPr="00033FF1" w:rsidRDefault="00B1140A">
      <w:pPr>
        <w:rPr>
          <w:rFonts w:ascii="Times New Roman" w:hAnsi="Times New Roman" w:cs="Times New Roman"/>
          <w:sz w:val="20"/>
          <w:szCs w:val="20"/>
        </w:rPr>
      </w:pPr>
      <w:r w:rsidRPr="00033FF1">
        <w:rPr>
          <w:rFonts w:ascii="Times New Roman" w:hAnsi="Times New Roman" w:cs="Times New Roman"/>
          <w:sz w:val="20"/>
          <w:szCs w:val="20"/>
        </w:rPr>
        <w:t>Continued…</w:t>
      </w:r>
    </w:p>
    <w:tbl>
      <w:tblPr>
        <w:tblStyle w:val="af0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34"/>
        <w:gridCol w:w="1341"/>
        <w:gridCol w:w="1194"/>
        <w:gridCol w:w="935"/>
      </w:tblGrid>
      <w:tr w:rsidR="003205CC" w:rsidRPr="00033FF1" w14:paraId="7B742810" w14:textId="77777777" w:rsidTr="003205CC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A68793" w14:textId="62772C99" w:rsidR="003205CC" w:rsidRPr="002656B7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lastRenderedPageBreak/>
              <w:t>Items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1ABF0E3" w14:textId="10F6E4C4" w:rsidR="003205CC" w:rsidRPr="002656B7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Total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C45102C" w14:textId="6AB2FE5B" w:rsidR="003205CC" w:rsidRPr="002656B7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Death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08A74C7" w14:textId="6FD4CA03" w:rsidR="003205CC" w:rsidRPr="002656B7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Survival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5AAEB575" w14:textId="5156D6F1" w:rsidR="003205CC" w:rsidRPr="002656B7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2656B7">
              <w:rPr>
                <w:rFonts w:ascii="Times New Roman" w:hAnsi="Times New Roman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2656B7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value</w:t>
            </w:r>
          </w:p>
        </w:tc>
      </w:tr>
      <w:tr w:rsidR="003205CC" w:rsidRPr="00033FF1" w14:paraId="0492E13F" w14:textId="77777777" w:rsidTr="003205CC">
        <w:trPr>
          <w:tblHeader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001FBF62" w14:textId="77777777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CAD or PAD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CFDBECF" w14:textId="1C73CFC0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100 (12.3)</w:t>
            </w:r>
          </w:p>
        </w:tc>
        <w:tc>
          <w:tcPr>
            <w:tcW w:w="1341" w:type="dxa"/>
            <w:tcBorders>
              <w:top w:val="single" w:sz="4" w:space="0" w:color="auto"/>
              <w:bottom w:val="nil"/>
            </w:tcBorders>
          </w:tcPr>
          <w:p w14:paraId="0D8DEB7D" w14:textId="6C43F78E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6 (14.6)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14:paraId="188FC592" w14:textId="01A7D62D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94 (12.2)</w:t>
            </w:r>
          </w:p>
        </w:tc>
        <w:tc>
          <w:tcPr>
            <w:tcW w:w="935" w:type="dxa"/>
            <w:tcBorders>
              <w:top w:val="single" w:sz="4" w:space="0" w:color="auto"/>
              <w:bottom w:val="nil"/>
            </w:tcBorders>
          </w:tcPr>
          <w:p w14:paraId="5E9B3D7E" w14:textId="32BC2F5B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0.648</w:t>
            </w:r>
          </w:p>
        </w:tc>
      </w:tr>
      <w:tr w:rsidR="003205CC" w:rsidRPr="00033FF1" w14:paraId="36D624A1" w14:textId="77777777">
        <w:tc>
          <w:tcPr>
            <w:tcW w:w="3402" w:type="dxa"/>
            <w:tcBorders>
              <w:top w:val="nil"/>
              <w:bottom w:val="nil"/>
            </w:tcBorders>
          </w:tcPr>
          <w:p w14:paraId="11D7D288" w14:textId="77777777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 Congestive heart failure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FB45811" w14:textId="33841C03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14 (1.7)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64A3418A" w14:textId="77777777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 (0)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6164244" w14:textId="48C147FA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14 (1.8)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EF9238F" w14:textId="3DD7FB4F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1.000</w:t>
            </w:r>
          </w:p>
        </w:tc>
      </w:tr>
      <w:tr w:rsidR="003205CC" w:rsidRPr="00033FF1" w14:paraId="76E481DC" w14:textId="77777777">
        <w:tc>
          <w:tcPr>
            <w:tcW w:w="3402" w:type="dxa"/>
            <w:tcBorders>
              <w:top w:val="nil"/>
              <w:bottom w:val="nil"/>
            </w:tcBorders>
          </w:tcPr>
          <w:p w14:paraId="5047FBBF" w14:textId="34302148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CHA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DS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vertAlign w:val="subscript"/>
              </w:rPr>
              <w:t>2</w:t>
            </w: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-VASc score (mean, SD)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4919E42" w14:textId="6B3C09B3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3.3±1.1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14:paraId="11713BF2" w14:textId="7F0F5DBC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3.4±1.2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0157108" w14:textId="40D9A9BB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3.3±1.1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119E09A4" w14:textId="3A97D655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0.415</w:t>
            </w:r>
          </w:p>
        </w:tc>
      </w:tr>
      <w:tr w:rsidR="003205CC" w:rsidRPr="00033FF1" w14:paraId="521BCED9" w14:textId="77777777">
        <w:tc>
          <w:tcPr>
            <w:tcW w:w="3402" w:type="dxa"/>
            <w:tcBorders>
              <w:top w:val="nil"/>
            </w:tcBorders>
          </w:tcPr>
          <w:p w14:paraId="622643FE" w14:textId="54EFF772" w:rsidR="003205CC" w:rsidRPr="00033FF1" w:rsidRDefault="003205CC" w:rsidP="003205CC">
            <w:pPr>
              <w:ind w:firstLineChars="100" w:firstLine="200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≥3 in women or ≥2 in men</w:t>
            </w:r>
          </w:p>
        </w:tc>
        <w:tc>
          <w:tcPr>
            <w:tcW w:w="1434" w:type="dxa"/>
            <w:tcBorders>
              <w:top w:val="nil"/>
            </w:tcBorders>
          </w:tcPr>
          <w:p w14:paraId="710B63BA" w14:textId="010D09A1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744 (91.9)</w:t>
            </w:r>
          </w:p>
        </w:tc>
        <w:tc>
          <w:tcPr>
            <w:tcW w:w="1341" w:type="dxa"/>
            <w:tcBorders>
              <w:top w:val="nil"/>
            </w:tcBorders>
          </w:tcPr>
          <w:p w14:paraId="5CFDCB75" w14:textId="15DA2F08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36 (87.8)</w:t>
            </w:r>
          </w:p>
        </w:tc>
        <w:tc>
          <w:tcPr>
            <w:tcW w:w="1194" w:type="dxa"/>
            <w:tcBorders>
              <w:top w:val="nil"/>
            </w:tcBorders>
          </w:tcPr>
          <w:p w14:paraId="0F732F22" w14:textId="4E8FE7CA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708 (92.1)</w:t>
            </w:r>
          </w:p>
        </w:tc>
        <w:tc>
          <w:tcPr>
            <w:tcW w:w="935" w:type="dxa"/>
            <w:tcBorders>
              <w:top w:val="nil"/>
            </w:tcBorders>
          </w:tcPr>
          <w:p w14:paraId="50E3E6D8" w14:textId="25A780F8" w:rsidR="003205CC" w:rsidRPr="00033FF1" w:rsidRDefault="003205CC" w:rsidP="003205CC">
            <w:pPr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033FF1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0.331</w:t>
            </w:r>
          </w:p>
        </w:tc>
      </w:tr>
    </w:tbl>
    <w:p w14:paraId="09CA2EED" w14:textId="2C76EF86" w:rsidR="0077210D" w:rsidRPr="00245FF4" w:rsidRDefault="00C617AC" w:rsidP="00B81C7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Data are number (</w:t>
      </w:r>
      <w:r w:rsidR="0077210D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%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), unless otherwise mentioned</w:t>
      </w:r>
      <w:r w:rsidR="00641040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196862D" w14:textId="5D6FE073" w:rsidR="00CA0A38" w:rsidRPr="00245FF4" w:rsidRDefault="00641040" w:rsidP="00B81C7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ABC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atrial fibrillation better care; TIA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transient ischemic attacks; CAD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coronary artery disease; PAD</w:t>
      </w:r>
      <w:r w:rsidR="002656B7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peripheral artery disease</w:t>
      </w:r>
      <w:r w:rsidR="00CA0A3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E114968" w14:textId="4F70C01E" w:rsidR="00EA63DF" w:rsidRDefault="00CA0A38" w:rsidP="00EA63DF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C247EE3" w14:textId="4F3CE7A6" w:rsidR="00C11E1F" w:rsidRDefault="003C7C9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2EE275" wp14:editId="7145E05D">
            <wp:extent cx="5278120" cy="2969260"/>
            <wp:effectExtent l="0" t="0" r="0" b="2540"/>
            <wp:docPr id="8613636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FE35" w14:textId="2ECADD72" w:rsidR="003B7020" w:rsidRPr="00245FF4" w:rsidRDefault="00CE4A6D" w:rsidP="000551D5">
      <w:pPr>
        <w:widowControl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Supplementary</w:t>
      </w:r>
      <w:r w:rsidR="006709F1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DE1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r w:rsidR="003B7020" w:rsidRPr="00A219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 </w:t>
      </w:r>
      <w:r w:rsidR="003B7020" w:rsidRPr="00DE1D06">
        <w:rPr>
          <w:rFonts w:ascii="Times New Roman" w:hAnsi="Times New Roman" w:cs="Times New Roman"/>
          <w:color w:val="000000" w:themeColor="text1"/>
          <w:sz w:val="20"/>
          <w:szCs w:val="20"/>
        </w:rPr>
        <w:t>Participation rates of patients and their family members in patient education and group discussions</w:t>
      </w:r>
      <w:r w:rsidR="00A73D50" w:rsidRP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(</w:t>
      </w:r>
      <w:r w:rsidR="00A73D50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A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)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atients and their family </w:t>
      </w:r>
      <w:r w:rsidR="00A73D50">
        <w:rPr>
          <w:rFonts w:ascii="Times New Roman" w:hAnsi="Times New Roman" w:cs="Times New Roman"/>
          <w:color w:val="000000" w:themeColor="text1"/>
          <w:sz w:val="20"/>
          <w:szCs w:val="20"/>
        </w:rPr>
        <w:t>members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in patient education by AF specialists; 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(</w:t>
      </w:r>
      <w:r w:rsidR="00A73D50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B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)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atients and their family </w:t>
      </w:r>
      <w:r w:rsidR="00A73D50">
        <w:rPr>
          <w:rFonts w:ascii="Times New Roman" w:hAnsi="Times New Roman" w:cs="Times New Roman"/>
          <w:color w:val="000000" w:themeColor="text1"/>
          <w:sz w:val="20"/>
          <w:szCs w:val="20"/>
        </w:rPr>
        <w:t>members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in patient education by village doctors; 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(</w:t>
      </w:r>
      <w:r w:rsidR="00A73D50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C</w:t>
      </w:r>
      <w:r w:rsidR="00DE1D06" w:rsidRPr="002656B7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)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atients and their family </w:t>
      </w:r>
      <w:r w:rsidR="00A73D50">
        <w:rPr>
          <w:rFonts w:ascii="Times New Roman" w:hAnsi="Times New Roman" w:cs="Times New Roman"/>
          <w:color w:val="000000" w:themeColor="text1"/>
          <w:sz w:val="20"/>
          <w:szCs w:val="20"/>
        </w:rPr>
        <w:t>members</w:t>
      </w:r>
      <w:r w:rsidR="00A73D5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in group discussions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  <w:r w:rsidR="00A73D50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B7020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AF</w:t>
      </w:r>
      <w:r w:rsidR="00DE1D0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04318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B7020" w:rsidRPr="00245FF4">
        <w:rPr>
          <w:rFonts w:ascii="Times New Roman" w:hAnsi="Times New Roman" w:cs="Times New Roman"/>
          <w:color w:val="000000" w:themeColor="text1"/>
          <w:sz w:val="20"/>
          <w:szCs w:val="20"/>
        </w:rPr>
        <w:t>atrial fibrillation.</w:t>
      </w:r>
    </w:p>
    <w:p w14:paraId="3F4A0D25" w14:textId="77777777" w:rsidR="003B7020" w:rsidRDefault="003B702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7020" w:rsidSect="00230384">
      <w:footerReference w:type="default" r:id="rId9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4E26" w14:textId="77777777" w:rsidR="00575492" w:rsidRDefault="00575492">
      <w:pPr>
        <w:rPr>
          <w:rFonts w:hint="eastAsia"/>
        </w:rPr>
      </w:pPr>
      <w:r>
        <w:separator/>
      </w:r>
    </w:p>
  </w:endnote>
  <w:endnote w:type="continuationSeparator" w:id="0">
    <w:p w14:paraId="2F7F7105" w14:textId="77777777" w:rsidR="00575492" w:rsidRDefault="005754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428491"/>
    </w:sdtPr>
    <w:sdtContent>
      <w:p w14:paraId="1CD973D0" w14:textId="77777777" w:rsidR="00C11E1F" w:rsidRDefault="006E4B4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3CBC24" w14:textId="77777777" w:rsidR="00C11E1F" w:rsidRDefault="00C11E1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F0B" w14:textId="77777777" w:rsidR="00575492" w:rsidRDefault="00575492">
      <w:pPr>
        <w:rPr>
          <w:rFonts w:hint="eastAsia"/>
        </w:rPr>
      </w:pPr>
      <w:r>
        <w:separator/>
      </w:r>
    </w:p>
  </w:footnote>
  <w:footnote w:type="continuationSeparator" w:id="0">
    <w:p w14:paraId="53699DA7" w14:textId="77777777" w:rsidR="00575492" w:rsidRDefault="005754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2D79"/>
    <w:multiLevelType w:val="multilevel"/>
    <w:tmpl w:val="202E2D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82C09"/>
    <w:multiLevelType w:val="hybridMultilevel"/>
    <w:tmpl w:val="A5124A38"/>
    <w:lvl w:ilvl="0" w:tplc="A342B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8D26FD9"/>
    <w:multiLevelType w:val="multilevel"/>
    <w:tmpl w:val="78D26F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18589">
    <w:abstractNumId w:val="2"/>
  </w:num>
  <w:num w:numId="2" w16cid:durableId="1569536915">
    <w:abstractNumId w:val="0"/>
  </w:num>
  <w:num w:numId="3" w16cid:durableId="31203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3MzM3NTJiN2UyMDgxYjE4YTMyYWM4ZmJmMzI0YzA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KY_MEDREF_DOCUID" w:val="{C9D059A3-2BC9-44CB-8FC2-E81BEF5DB4D5}"/>
    <w:docVar w:name="KY_MEDREF_VERSION" w:val="3"/>
  </w:docVars>
  <w:rsids>
    <w:rsidRoot w:val="005A5F84"/>
    <w:rsid w:val="00010EBF"/>
    <w:rsid w:val="00015394"/>
    <w:rsid w:val="00027192"/>
    <w:rsid w:val="00033FF1"/>
    <w:rsid w:val="00035699"/>
    <w:rsid w:val="00035A11"/>
    <w:rsid w:val="000449AA"/>
    <w:rsid w:val="00045644"/>
    <w:rsid w:val="00047A86"/>
    <w:rsid w:val="00050381"/>
    <w:rsid w:val="000506F3"/>
    <w:rsid w:val="00052FA9"/>
    <w:rsid w:val="00054B3C"/>
    <w:rsid w:val="000551D5"/>
    <w:rsid w:val="000559AC"/>
    <w:rsid w:val="00062720"/>
    <w:rsid w:val="000649A2"/>
    <w:rsid w:val="00071823"/>
    <w:rsid w:val="0007576B"/>
    <w:rsid w:val="00091F26"/>
    <w:rsid w:val="00092E5B"/>
    <w:rsid w:val="00096368"/>
    <w:rsid w:val="000977A1"/>
    <w:rsid w:val="000A1A17"/>
    <w:rsid w:val="000A246C"/>
    <w:rsid w:val="000A4BE2"/>
    <w:rsid w:val="000A6105"/>
    <w:rsid w:val="000C154A"/>
    <w:rsid w:val="000C36C9"/>
    <w:rsid w:val="000D363B"/>
    <w:rsid w:val="000D5B9E"/>
    <w:rsid w:val="000D6240"/>
    <w:rsid w:val="000E0FDC"/>
    <w:rsid w:val="000E5993"/>
    <w:rsid w:val="000F158D"/>
    <w:rsid w:val="000F1DD2"/>
    <w:rsid w:val="000F5893"/>
    <w:rsid w:val="00100B12"/>
    <w:rsid w:val="00104318"/>
    <w:rsid w:val="00105AE9"/>
    <w:rsid w:val="00112F3A"/>
    <w:rsid w:val="00114392"/>
    <w:rsid w:val="0011614C"/>
    <w:rsid w:val="00116C36"/>
    <w:rsid w:val="00127FAC"/>
    <w:rsid w:val="001341B0"/>
    <w:rsid w:val="001344AC"/>
    <w:rsid w:val="00155110"/>
    <w:rsid w:val="001654EB"/>
    <w:rsid w:val="0017018B"/>
    <w:rsid w:val="00190F4A"/>
    <w:rsid w:val="001938CE"/>
    <w:rsid w:val="001938FC"/>
    <w:rsid w:val="00196A05"/>
    <w:rsid w:val="001A0809"/>
    <w:rsid w:val="001A202D"/>
    <w:rsid w:val="001A6915"/>
    <w:rsid w:val="001B6C35"/>
    <w:rsid w:val="001C099F"/>
    <w:rsid w:val="001C3D6B"/>
    <w:rsid w:val="001C74B5"/>
    <w:rsid w:val="001D1C3B"/>
    <w:rsid w:val="001D6FA5"/>
    <w:rsid w:val="001E056B"/>
    <w:rsid w:val="001E3A26"/>
    <w:rsid w:val="001E7B57"/>
    <w:rsid w:val="001F69FB"/>
    <w:rsid w:val="001F7E3A"/>
    <w:rsid w:val="002067DA"/>
    <w:rsid w:val="00207076"/>
    <w:rsid w:val="00217571"/>
    <w:rsid w:val="00221FE3"/>
    <w:rsid w:val="0022525C"/>
    <w:rsid w:val="00230384"/>
    <w:rsid w:val="00236F85"/>
    <w:rsid w:val="00245FF4"/>
    <w:rsid w:val="00255AA5"/>
    <w:rsid w:val="00264B8E"/>
    <w:rsid w:val="002653E8"/>
    <w:rsid w:val="002656B7"/>
    <w:rsid w:val="00267167"/>
    <w:rsid w:val="002674F0"/>
    <w:rsid w:val="00283946"/>
    <w:rsid w:val="002870B7"/>
    <w:rsid w:val="002911AA"/>
    <w:rsid w:val="00293633"/>
    <w:rsid w:val="00297846"/>
    <w:rsid w:val="002A7A37"/>
    <w:rsid w:val="002B036F"/>
    <w:rsid w:val="002B1E8C"/>
    <w:rsid w:val="002C5056"/>
    <w:rsid w:val="002C7F52"/>
    <w:rsid w:val="002D2470"/>
    <w:rsid w:val="002D510C"/>
    <w:rsid w:val="002D6C06"/>
    <w:rsid w:val="002D7967"/>
    <w:rsid w:val="002F144B"/>
    <w:rsid w:val="002F47F1"/>
    <w:rsid w:val="002F6CF1"/>
    <w:rsid w:val="00315EFC"/>
    <w:rsid w:val="00316E6B"/>
    <w:rsid w:val="003205CC"/>
    <w:rsid w:val="003207F6"/>
    <w:rsid w:val="003279DD"/>
    <w:rsid w:val="00334CCE"/>
    <w:rsid w:val="00335154"/>
    <w:rsid w:val="00336349"/>
    <w:rsid w:val="00336817"/>
    <w:rsid w:val="0034693D"/>
    <w:rsid w:val="00361E9C"/>
    <w:rsid w:val="00363578"/>
    <w:rsid w:val="0036576B"/>
    <w:rsid w:val="00373EEE"/>
    <w:rsid w:val="00381F77"/>
    <w:rsid w:val="003822C2"/>
    <w:rsid w:val="003869B7"/>
    <w:rsid w:val="003874D5"/>
    <w:rsid w:val="00387FC6"/>
    <w:rsid w:val="00393D31"/>
    <w:rsid w:val="003966B4"/>
    <w:rsid w:val="00396ACB"/>
    <w:rsid w:val="003A2B10"/>
    <w:rsid w:val="003A7791"/>
    <w:rsid w:val="003A7872"/>
    <w:rsid w:val="003B61A1"/>
    <w:rsid w:val="003B7020"/>
    <w:rsid w:val="003C1035"/>
    <w:rsid w:val="003C59DC"/>
    <w:rsid w:val="003C7563"/>
    <w:rsid w:val="003C7C93"/>
    <w:rsid w:val="003D4213"/>
    <w:rsid w:val="003E257D"/>
    <w:rsid w:val="003E5DF4"/>
    <w:rsid w:val="003E5F42"/>
    <w:rsid w:val="003E74E6"/>
    <w:rsid w:val="003F0D05"/>
    <w:rsid w:val="003F7F60"/>
    <w:rsid w:val="00400686"/>
    <w:rsid w:val="00420D2C"/>
    <w:rsid w:val="004227D8"/>
    <w:rsid w:val="00423F4A"/>
    <w:rsid w:val="00431234"/>
    <w:rsid w:val="0043284D"/>
    <w:rsid w:val="00435AAA"/>
    <w:rsid w:val="00445399"/>
    <w:rsid w:val="00450E58"/>
    <w:rsid w:val="004541B5"/>
    <w:rsid w:val="0045531D"/>
    <w:rsid w:val="00463E64"/>
    <w:rsid w:val="004704C3"/>
    <w:rsid w:val="00473DDE"/>
    <w:rsid w:val="00477381"/>
    <w:rsid w:val="00486691"/>
    <w:rsid w:val="00495344"/>
    <w:rsid w:val="004A17FF"/>
    <w:rsid w:val="004A2CE9"/>
    <w:rsid w:val="004B0C05"/>
    <w:rsid w:val="004B3082"/>
    <w:rsid w:val="004B5F38"/>
    <w:rsid w:val="004D435B"/>
    <w:rsid w:val="004D71E6"/>
    <w:rsid w:val="004E69E2"/>
    <w:rsid w:val="004E6AB9"/>
    <w:rsid w:val="004F6E9A"/>
    <w:rsid w:val="00500CBD"/>
    <w:rsid w:val="00504A7B"/>
    <w:rsid w:val="00510626"/>
    <w:rsid w:val="00512B35"/>
    <w:rsid w:val="005146E1"/>
    <w:rsid w:val="005167BA"/>
    <w:rsid w:val="00522C7F"/>
    <w:rsid w:val="0052728A"/>
    <w:rsid w:val="005278F1"/>
    <w:rsid w:val="00536758"/>
    <w:rsid w:val="005401AF"/>
    <w:rsid w:val="00543432"/>
    <w:rsid w:val="00543B43"/>
    <w:rsid w:val="00544203"/>
    <w:rsid w:val="00544BDD"/>
    <w:rsid w:val="0055609B"/>
    <w:rsid w:val="005575D1"/>
    <w:rsid w:val="00572C8A"/>
    <w:rsid w:val="00575492"/>
    <w:rsid w:val="00575B80"/>
    <w:rsid w:val="00576AB7"/>
    <w:rsid w:val="005779F4"/>
    <w:rsid w:val="00593706"/>
    <w:rsid w:val="00597E11"/>
    <w:rsid w:val="005A5F84"/>
    <w:rsid w:val="005A76BD"/>
    <w:rsid w:val="005C3F4F"/>
    <w:rsid w:val="005C48D5"/>
    <w:rsid w:val="005E3A2E"/>
    <w:rsid w:val="005F0010"/>
    <w:rsid w:val="005F44A3"/>
    <w:rsid w:val="005F6B0F"/>
    <w:rsid w:val="0060233B"/>
    <w:rsid w:val="00620F5A"/>
    <w:rsid w:val="0062266F"/>
    <w:rsid w:val="00631ECD"/>
    <w:rsid w:val="00641040"/>
    <w:rsid w:val="006508E2"/>
    <w:rsid w:val="00650B1D"/>
    <w:rsid w:val="0065471D"/>
    <w:rsid w:val="00660531"/>
    <w:rsid w:val="00660A82"/>
    <w:rsid w:val="00660F74"/>
    <w:rsid w:val="00661127"/>
    <w:rsid w:val="00670498"/>
    <w:rsid w:val="006709F1"/>
    <w:rsid w:val="006808E3"/>
    <w:rsid w:val="00680990"/>
    <w:rsid w:val="00682645"/>
    <w:rsid w:val="0068544D"/>
    <w:rsid w:val="00691C27"/>
    <w:rsid w:val="00697754"/>
    <w:rsid w:val="006A7FE7"/>
    <w:rsid w:val="006B3F42"/>
    <w:rsid w:val="006B4B6F"/>
    <w:rsid w:val="006B545D"/>
    <w:rsid w:val="006B54D4"/>
    <w:rsid w:val="006D4A77"/>
    <w:rsid w:val="006E1899"/>
    <w:rsid w:val="006E2025"/>
    <w:rsid w:val="006E3F92"/>
    <w:rsid w:val="006E4B41"/>
    <w:rsid w:val="006E50C2"/>
    <w:rsid w:val="006E6F15"/>
    <w:rsid w:val="006F40B5"/>
    <w:rsid w:val="006F5F5D"/>
    <w:rsid w:val="007010A0"/>
    <w:rsid w:val="00705867"/>
    <w:rsid w:val="00706B29"/>
    <w:rsid w:val="0071248A"/>
    <w:rsid w:val="0072199C"/>
    <w:rsid w:val="007219F7"/>
    <w:rsid w:val="00730DAB"/>
    <w:rsid w:val="00730E27"/>
    <w:rsid w:val="0073502B"/>
    <w:rsid w:val="00735989"/>
    <w:rsid w:val="00737ACC"/>
    <w:rsid w:val="00741B03"/>
    <w:rsid w:val="00742147"/>
    <w:rsid w:val="007501C1"/>
    <w:rsid w:val="00750221"/>
    <w:rsid w:val="00750EF4"/>
    <w:rsid w:val="007551E9"/>
    <w:rsid w:val="00756A19"/>
    <w:rsid w:val="00757D49"/>
    <w:rsid w:val="00764501"/>
    <w:rsid w:val="00770114"/>
    <w:rsid w:val="0077052C"/>
    <w:rsid w:val="00770568"/>
    <w:rsid w:val="00771B16"/>
    <w:rsid w:val="0077210D"/>
    <w:rsid w:val="007746A5"/>
    <w:rsid w:val="00784259"/>
    <w:rsid w:val="00785098"/>
    <w:rsid w:val="007958DC"/>
    <w:rsid w:val="007A12B2"/>
    <w:rsid w:val="007A5F6A"/>
    <w:rsid w:val="007B2300"/>
    <w:rsid w:val="007B46ED"/>
    <w:rsid w:val="007B7DC4"/>
    <w:rsid w:val="007C2861"/>
    <w:rsid w:val="007C4F67"/>
    <w:rsid w:val="007C5264"/>
    <w:rsid w:val="007D2F31"/>
    <w:rsid w:val="007D6438"/>
    <w:rsid w:val="007D770D"/>
    <w:rsid w:val="007E684A"/>
    <w:rsid w:val="007F319A"/>
    <w:rsid w:val="007F6839"/>
    <w:rsid w:val="008003B9"/>
    <w:rsid w:val="0080262C"/>
    <w:rsid w:val="00803AC2"/>
    <w:rsid w:val="00805B29"/>
    <w:rsid w:val="0081105C"/>
    <w:rsid w:val="00811557"/>
    <w:rsid w:val="00814495"/>
    <w:rsid w:val="0082236C"/>
    <w:rsid w:val="00832FCB"/>
    <w:rsid w:val="008411BB"/>
    <w:rsid w:val="00850C6D"/>
    <w:rsid w:val="00851342"/>
    <w:rsid w:val="0085662C"/>
    <w:rsid w:val="008638D4"/>
    <w:rsid w:val="00881734"/>
    <w:rsid w:val="008872E9"/>
    <w:rsid w:val="0089321F"/>
    <w:rsid w:val="008A1A5D"/>
    <w:rsid w:val="008A2959"/>
    <w:rsid w:val="008A4E19"/>
    <w:rsid w:val="008A6978"/>
    <w:rsid w:val="008B6658"/>
    <w:rsid w:val="008C2D72"/>
    <w:rsid w:val="008C2E45"/>
    <w:rsid w:val="008D6F44"/>
    <w:rsid w:val="008D7A96"/>
    <w:rsid w:val="008E29EC"/>
    <w:rsid w:val="008E3969"/>
    <w:rsid w:val="008E782E"/>
    <w:rsid w:val="008F0C00"/>
    <w:rsid w:val="009005BF"/>
    <w:rsid w:val="00903CBC"/>
    <w:rsid w:val="0090641E"/>
    <w:rsid w:val="00907764"/>
    <w:rsid w:val="00917C87"/>
    <w:rsid w:val="00921B59"/>
    <w:rsid w:val="009243DE"/>
    <w:rsid w:val="00927466"/>
    <w:rsid w:val="00931694"/>
    <w:rsid w:val="009570BE"/>
    <w:rsid w:val="00960F35"/>
    <w:rsid w:val="009706A0"/>
    <w:rsid w:val="009706F8"/>
    <w:rsid w:val="00970973"/>
    <w:rsid w:val="0097575E"/>
    <w:rsid w:val="0098130B"/>
    <w:rsid w:val="00987068"/>
    <w:rsid w:val="0099308F"/>
    <w:rsid w:val="00995239"/>
    <w:rsid w:val="009A0C62"/>
    <w:rsid w:val="009A2E46"/>
    <w:rsid w:val="009A7BF3"/>
    <w:rsid w:val="009B1A62"/>
    <w:rsid w:val="009B2054"/>
    <w:rsid w:val="009C060F"/>
    <w:rsid w:val="009C6583"/>
    <w:rsid w:val="009C6D47"/>
    <w:rsid w:val="009D0CAD"/>
    <w:rsid w:val="009E0BD9"/>
    <w:rsid w:val="009F2D90"/>
    <w:rsid w:val="009F6CF2"/>
    <w:rsid w:val="009F7A0A"/>
    <w:rsid w:val="00A01EC3"/>
    <w:rsid w:val="00A02060"/>
    <w:rsid w:val="00A138C4"/>
    <w:rsid w:val="00A142F5"/>
    <w:rsid w:val="00A15CAD"/>
    <w:rsid w:val="00A16B20"/>
    <w:rsid w:val="00A219AC"/>
    <w:rsid w:val="00A23313"/>
    <w:rsid w:val="00A30A53"/>
    <w:rsid w:val="00A33CF9"/>
    <w:rsid w:val="00A40FA2"/>
    <w:rsid w:val="00A50983"/>
    <w:rsid w:val="00A50A21"/>
    <w:rsid w:val="00A57DF1"/>
    <w:rsid w:val="00A64808"/>
    <w:rsid w:val="00A73D50"/>
    <w:rsid w:val="00A841B5"/>
    <w:rsid w:val="00A86608"/>
    <w:rsid w:val="00A94328"/>
    <w:rsid w:val="00A94B4F"/>
    <w:rsid w:val="00AA044F"/>
    <w:rsid w:val="00AA112E"/>
    <w:rsid w:val="00AA2BB2"/>
    <w:rsid w:val="00AA4668"/>
    <w:rsid w:val="00AA551D"/>
    <w:rsid w:val="00AC4199"/>
    <w:rsid w:val="00AC6A98"/>
    <w:rsid w:val="00AD52F3"/>
    <w:rsid w:val="00AE1534"/>
    <w:rsid w:val="00AE6476"/>
    <w:rsid w:val="00AF4A07"/>
    <w:rsid w:val="00B10C5E"/>
    <w:rsid w:val="00B1140A"/>
    <w:rsid w:val="00B204E4"/>
    <w:rsid w:val="00B21DC2"/>
    <w:rsid w:val="00B2533C"/>
    <w:rsid w:val="00B2565C"/>
    <w:rsid w:val="00B4034E"/>
    <w:rsid w:val="00B41B22"/>
    <w:rsid w:val="00B5285E"/>
    <w:rsid w:val="00B66A49"/>
    <w:rsid w:val="00B66B68"/>
    <w:rsid w:val="00B67E31"/>
    <w:rsid w:val="00B700EE"/>
    <w:rsid w:val="00B73CF3"/>
    <w:rsid w:val="00B75E8D"/>
    <w:rsid w:val="00B80B2F"/>
    <w:rsid w:val="00B81C73"/>
    <w:rsid w:val="00B835FE"/>
    <w:rsid w:val="00B90460"/>
    <w:rsid w:val="00B91E78"/>
    <w:rsid w:val="00BA2C26"/>
    <w:rsid w:val="00BA45C8"/>
    <w:rsid w:val="00BA7145"/>
    <w:rsid w:val="00BB10BA"/>
    <w:rsid w:val="00BB253D"/>
    <w:rsid w:val="00BC2C45"/>
    <w:rsid w:val="00BC448D"/>
    <w:rsid w:val="00BC450F"/>
    <w:rsid w:val="00BD0175"/>
    <w:rsid w:val="00BE0946"/>
    <w:rsid w:val="00BF130B"/>
    <w:rsid w:val="00BF2726"/>
    <w:rsid w:val="00C06193"/>
    <w:rsid w:val="00C11E1F"/>
    <w:rsid w:val="00C13D70"/>
    <w:rsid w:val="00C1628F"/>
    <w:rsid w:val="00C27CCB"/>
    <w:rsid w:val="00C3067B"/>
    <w:rsid w:val="00C32C75"/>
    <w:rsid w:val="00C35CC3"/>
    <w:rsid w:val="00C36700"/>
    <w:rsid w:val="00C400A0"/>
    <w:rsid w:val="00C517A8"/>
    <w:rsid w:val="00C561BD"/>
    <w:rsid w:val="00C617AC"/>
    <w:rsid w:val="00C71D1E"/>
    <w:rsid w:val="00C71ED4"/>
    <w:rsid w:val="00C73FEB"/>
    <w:rsid w:val="00C75BF4"/>
    <w:rsid w:val="00C95285"/>
    <w:rsid w:val="00CA0A38"/>
    <w:rsid w:val="00CA1EE8"/>
    <w:rsid w:val="00CA3A42"/>
    <w:rsid w:val="00CB1207"/>
    <w:rsid w:val="00CC0C47"/>
    <w:rsid w:val="00CC195C"/>
    <w:rsid w:val="00CC1D17"/>
    <w:rsid w:val="00CC20D1"/>
    <w:rsid w:val="00CC4D5D"/>
    <w:rsid w:val="00CC6BBF"/>
    <w:rsid w:val="00CD054A"/>
    <w:rsid w:val="00CD06E8"/>
    <w:rsid w:val="00CE4A6D"/>
    <w:rsid w:val="00CF684F"/>
    <w:rsid w:val="00CF7C3C"/>
    <w:rsid w:val="00CF7E00"/>
    <w:rsid w:val="00D12B1E"/>
    <w:rsid w:val="00D247A0"/>
    <w:rsid w:val="00D42F9E"/>
    <w:rsid w:val="00D5151D"/>
    <w:rsid w:val="00D53DA4"/>
    <w:rsid w:val="00D80CA7"/>
    <w:rsid w:val="00D82097"/>
    <w:rsid w:val="00D9185F"/>
    <w:rsid w:val="00D95488"/>
    <w:rsid w:val="00DA54DA"/>
    <w:rsid w:val="00DB347A"/>
    <w:rsid w:val="00DC5918"/>
    <w:rsid w:val="00DD2552"/>
    <w:rsid w:val="00DD4B78"/>
    <w:rsid w:val="00DD550A"/>
    <w:rsid w:val="00DE0AEE"/>
    <w:rsid w:val="00DE1D06"/>
    <w:rsid w:val="00DE2E09"/>
    <w:rsid w:val="00DE2FAA"/>
    <w:rsid w:val="00E04AAB"/>
    <w:rsid w:val="00E07261"/>
    <w:rsid w:val="00E10EA0"/>
    <w:rsid w:val="00E130C9"/>
    <w:rsid w:val="00E17E7E"/>
    <w:rsid w:val="00E2172A"/>
    <w:rsid w:val="00E23D3C"/>
    <w:rsid w:val="00E2671D"/>
    <w:rsid w:val="00E27F1B"/>
    <w:rsid w:val="00E3014F"/>
    <w:rsid w:val="00E30AA7"/>
    <w:rsid w:val="00E43623"/>
    <w:rsid w:val="00E43670"/>
    <w:rsid w:val="00E4615F"/>
    <w:rsid w:val="00E51950"/>
    <w:rsid w:val="00E527C9"/>
    <w:rsid w:val="00E57712"/>
    <w:rsid w:val="00E674DB"/>
    <w:rsid w:val="00E92799"/>
    <w:rsid w:val="00E94D4F"/>
    <w:rsid w:val="00EA4343"/>
    <w:rsid w:val="00EA63DF"/>
    <w:rsid w:val="00EB07B6"/>
    <w:rsid w:val="00EB428A"/>
    <w:rsid w:val="00EB42EA"/>
    <w:rsid w:val="00EB59FE"/>
    <w:rsid w:val="00EC52F2"/>
    <w:rsid w:val="00EE2127"/>
    <w:rsid w:val="00EE6D9B"/>
    <w:rsid w:val="00EE7AF0"/>
    <w:rsid w:val="00EF1BFE"/>
    <w:rsid w:val="00EF71D1"/>
    <w:rsid w:val="00F00770"/>
    <w:rsid w:val="00F1009C"/>
    <w:rsid w:val="00F12E79"/>
    <w:rsid w:val="00F1391E"/>
    <w:rsid w:val="00F163C1"/>
    <w:rsid w:val="00F22E7C"/>
    <w:rsid w:val="00F24B18"/>
    <w:rsid w:val="00F26716"/>
    <w:rsid w:val="00F37F09"/>
    <w:rsid w:val="00F44705"/>
    <w:rsid w:val="00F549CA"/>
    <w:rsid w:val="00F5555A"/>
    <w:rsid w:val="00F6101D"/>
    <w:rsid w:val="00F61D05"/>
    <w:rsid w:val="00F82D20"/>
    <w:rsid w:val="00FA159D"/>
    <w:rsid w:val="00FB0203"/>
    <w:rsid w:val="00FB0C0E"/>
    <w:rsid w:val="00FB19B9"/>
    <w:rsid w:val="00FB2286"/>
    <w:rsid w:val="00FB7D21"/>
    <w:rsid w:val="00FC064E"/>
    <w:rsid w:val="00FC0AB5"/>
    <w:rsid w:val="00FC0B65"/>
    <w:rsid w:val="00FC5140"/>
    <w:rsid w:val="00FC604E"/>
    <w:rsid w:val="00FC6F2F"/>
    <w:rsid w:val="00FD63D5"/>
    <w:rsid w:val="00FF034C"/>
    <w:rsid w:val="00FF4C35"/>
    <w:rsid w:val="00FF7FE2"/>
    <w:rsid w:val="42EC2619"/>
    <w:rsid w:val="544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FCFA8"/>
  <w15:docId w15:val="{A193B39A-8B47-4850-94FE-66D06BB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semiHidden/>
    <w:unhideWhenUsed/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99"/>
    <w:unhideWhenUsed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/>
      <w:sz w:val="21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Theme="minorHAnsi" w:eastAsiaTheme="minorEastAsia" w:hAnsiTheme="minorHAnsi"/>
      <w:b/>
      <w:bCs/>
      <w:sz w:val="21"/>
    </w:rPr>
  </w:style>
  <w:style w:type="paragraph" w:customStyle="1" w:styleId="EndNoteBibliographyTitle">
    <w:name w:val="EndNote Bibliography Title"/>
    <w:basedOn w:val="a"/>
    <w:link w:val="EndNoteBibliographyTitle0"/>
    <w:autoRedefine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autoRedefine/>
    <w:qFormat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EB07B6"/>
    <w:pPr>
      <w:spacing w:line="360" w:lineRule="auto"/>
    </w:pPr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EB07B6"/>
    <w:rPr>
      <w:rFonts w:ascii="等线" w:eastAsia="等线" w:hAnsi="等线"/>
      <w:kern w:val="2"/>
      <w:szCs w:val="22"/>
    </w:rPr>
  </w:style>
  <w:style w:type="paragraph" w:customStyle="1" w:styleId="13">
    <w:name w:val="修订1"/>
    <w:autoRedefine/>
    <w:hidden/>
    <w:uiPriority w:val="99"/>
    <w:unhideWhenUsed/>
    <w:qFormat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pf0">
    <w:name w:val="pf0"/>
    <w:basedOn w:val="a"/>
    <w:autoRedefine/>
    <w:qFormat/>
    <w:rsid w:val="00EB07B6"/>
    <w:pPr>
      <w:widowControl/>
      <w:spacing w:before="100" w:beforeAutospacing="1" w:after="100" w:afterAutospacing="1" w:line="360" w:lineRule="auto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f01">
    <w:name w:val="cf01"/>
    <w:basedOn w:val="a0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14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41">
    <w:name w:val="修订4"/>
    <w:hidden/>
    <w:uiPriority w:val="99"/>
    <w:unhideWhenUsed/>
    <w:rPr>
      <w:rFonts w:asciiTheme="minorHAnsi" w:eastAsiaTheme="minorEastAsia" w:hAnsiTheme="minorHAnsi"/>
      <w:kern w:val="2"/>
      <w:sz w:val="21"/>
      <w:szCs w:val="22"/>
    </w:rPr>
  </w:style>
  <w:style w:type="character" w:customStyle="1" w:styleId="title-copy">
    <w:name w:val="title-copy"/>
    <w:basedOn w:val="a0"/>
  </w:style>
  <w:style w:type="character" w:customStyle="1" w:styleId="docsum-authors">
    <w:name w:val="docsum-authors"/>
    <w:basedOn w:val="a0"/>
  </w:style>
  <w:style w:type="character" w:customStyle="1" w:styleId="docsum-journal-citation">
    <w:name w:val="docsum-journal-citation"/>
    <w:basedOn w:val="a0"/>
  </w:style>
  <w:style w:type="character" w:customStyle="1" w:styleId="EndNoteBibliographyTitleCarattere">
    <w:name w:val="EndNote Bibliography Title Carattere"/>
    <w:basedOn w:val="a0"/>
    <w:rPr>
      <w:rFonts w:ascii="Calibri" w:hAnsi="Calibri" w:cs="Calibri"/>
      <w:lang w:val="en-US"/>
    </w:rPr>
  </w:style>
  <w:style w:type="character" w:customStyle="1" w:styleId="2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Revision"/>
    <w:hidden/>
    <w:uiPriority w:val="99"/>
    <w:unhideWhenUsed/>
    <w:rsid w:val="009A2E46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F747-6D73-4268-B213-34819E88AD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646</Words>
  <Characters>3861</Characters>
  <Application>Microsoft Office Word</Application>
  <DocSecurity>0</DocSecurity>
  <Lines>66</Lines>
  <Paragraphs>20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miao</dc:creator>
  <cp:lastModifiedBy>di miao</cp:lastModifiedBy>
  <cp:revision>58</cp:revision>
  <cp:lastPrinted>2024-08-19T09:21:00Z</cp:lastPrinted>
  <dcterms:created xsi:type="dcterms:W3CDTF">2024-09-16T15:06:00Z</dcterms:created>
  <dcterms:modified xsi:type="dcterms:W3CDTF">2025-04-13T15:26:00Z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1F6C9BDDE8EE48C6A01C0FD2D4D2DC74_12</vt:lpwstr>
  </property>
</Properties>
</file>