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77CA1" w14:textId="77777777" w:rsidR="00425ACF" w:rsidRPr="00B43F67" w:rsidRDefault="00B43F67">
      <w:pPr>
        <w:rPr>
          <w:rFonts w:cs="Times New Roman"/>
          <w:b/>
          <w:bCs/>
          <w:color w:val="000000"/>
          <w:szCs w:val="28"/>
        </w:rPr>
      </w:pPr>
      <w:r w:rsidRPr="00B43F67">
        <w:rPr>
          <w:rFonts w:cs="Times New Roman"/>
          <w:b/>
          <w:bCs/>
          <w:color w:val="000000"/>
          <w:szCs w:val="28"/>
        </w:rPr>
        <w:t>SUPPLEMENTARY MATERIALS</w:t>
      </w:r>
    </w:p>
    <w:p w14:paraId="61E4F70A" w14:textId="77777777" w:rsidR="00425ACF" w:rsidRDefault="00425ACF">
      <w:pPr>
        <w:rPr>
          <w:rFonts w:cs="Times New Roman"/>
          <w:b/>
          <w:bCs/>
          <w:color w:val="000000"/>
          <w:sz w:val="24"/>
          <w:szCs w:val="24"/>
        </w:rPr>
      </w:pPr>
    </w:p>
    <w:p w14:paraId="27E63092" w14:textId="62BAFF47" w:rsidR="006D0318" w:rsidRPr="00E10451" w:rsidRDefault="00E1045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AE02654" wp14:editId="7A5381EC">
            <wp:extent cx="5189008" cy="3338195"/>
            <wp:effectExtent l="0" t="0" r="5715" b="0"/>
            <wp:docPr id="459321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21692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008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22722" w14:textId="77777777" w:rsidR="00425ACF" w:rsidRPr="00425ACF" w:rsidRDefault="00425ACF" w:rsidP="00380BE7">
      <w:pPr>
        <w:spacing w:line="360" w:lineRule="auto"/>
        <w:rPr>
          <w:rFonts w:eastAsia="Microsoft YaHei" w:cs="Times New Roman"/>
          <w:b/>
          <w:bCs/>
          <w:sz w:val="24"/>
          <w:szCs w:val="24"/>
        </w:rPr>
      </w:pPr>
      <w:r w:rsidRPr="00425ACF">
        <w:rPr>
          <w:rFonts w:eastAsia="Microsoft YaHei" w:cs="Times New Roman"/>
          <w:b/>
          <w:bCs/>
          <w:sz w:val="24"/>
          <w:szCs w:val="24"/>
        </w:rPr>
        <w:t>Figure S1 Sex-Stratified Forest Plots of Quartile Changes in PASI, BSA, and PGA for Achieving a ≥90% Reduction in DLQI</w:t>
      </w:r>
    </w:p>
    <w:p w14:paraId="488F7C26" w14:textId="77777777" w:rsidR="00E10451" w:rsidRDefault="00E10451" w:rsidP="00E10451">
      <w:pPr>
        <w:spacing w:line="360" w:lineRule="auto"/>
        <w:rPr>
          <w:rFonts w:eastAsia="Microsoft YaHei" w:cs="Times New Roman"/>
          <w:sz w:val="24"/>
          <w:szCs w:val="24"/>
        </w:rPr>
      </w:pPr>
      <w:r w:rsidRPr="00E10451">
        <w:rPr>
          <w:rFonts w:eastAsia="Microsoft YaHei" w:cs="Times New Roman"/>
          <w:sz w:val="24"/>
          <w:szCs w:val="24"/>
        </w:rPr>
        <w:t xml:space="preserve">(A) Male patients – score change; (B) Male patients – percentage change; (C) Female patients – score change; (D) Female patients – percentage change. </w:t>
      </w:r>
    </w:p>
    <w:p w14:paraId="27CD1E6B" w14:textId="46DA8790" w:rsidR="00E10451" w:rsidRPr="00380BE7" w:rsidRDefault="00E10451" w:rsidP="00E10451">
      <w:pPr>
        <w:spacing w:line="360" w:lineRule="auto"/>
        <w:rPr>
          <w:rFonts w:eastAsia="Microsoft YaHei" w:cs="Times New Roman"/>
        </w:rPr>
      </w:pPr>
      <w:proofErr w:type="gramStart"/>
      <w:r w:rsidRPr="00380BE7">
        <w:rPr>
          <w:rFonts w:eastAsia="Microsoft YaHei" w:cs="Times New Roman"/>
          <w:sz w:val="24"/>
          <w:szCs w:val="24"/>
        </w:rPr>
        <w:t>OR,</w:t>
      </w:r>
      <w:proofErr w:type="gramEnd"/>
      <w:r w:rsidRPr="00380BE7">
        <w:rPr>
          <w:rFonts w:eastAsia="Microsoft YaHei" w:cs="Times New Roman"/>
          <w:sz w:val="24"/>
          <w:szCs w:val="24"/>
        </w:rPr>
        <w:t xml:space="preserve"> odds ratio; CI, confidence interval; PASI, psoriasis area and severity index; BSA, body surface area; PGA, Physician's Global Assessment; PCT, percentage; </w:t>
      </w:r>
      <w:proofErr w:type="spellStart"/>
      <w:r w:rsidRPr="00380BE7">
        <w:rPr>
          <w:rFonts w:eastAsia="Microsoft YaHei" w:cs="Times New Roman"/>
          <w:sz w:val="24"/>
          <w:szCs w:val="24"/>
        </w:rPr>
        <w:t>wk</w:t>
      </w:r>
      <w:proofErr w:type="spellEnd"/>
      <w:r w:rsidRPr="00380BE7">
        <w:rPr>
          <w:rFonts w:eastAsia="Microsoft YaHei" w:cs="Times New Roman"/>
          <w:sz w:val="24"/>
          <w:szCs w:val="24"/>
        </w:rPr>
        <w:t>, week</w:t>
      </w:r>
      <w:r>
        <w:rPr>
          <w:rFonts w:eastAsia="Microsoft YaHei" w:cs="Times New Roman"/>
          <w:sz w:val="24"/>
          <w:szCs w:val="24"/>
        </w:rPr>
        <w:t xml:space="preserve">; </w:t>
      </w:r>
      <w:r w:rsidRPr="00380BE7">
        <w:rPr>
          <w:rFonts w:eastAsia="Microsoft YaHei" w:cs="Times New Roman"/>
          <w:sz w:val="24"/>
          <w:szCs w:val="24"/>
        </w:rPr>
        <w:t>Quartile 1 (P0-P25); Quartile 2 (P25-P50); Quartile3 (P50-P75); Quartile 4 (P75-P100)</w:t>
      </w:r>
    </w:p>
    <w:p w14:paraId="5B467ACD" w14:textId="0314C09F" w:rsidR="00E10451" w:rsidRPr="00E10451" w:rsidRDefault="00E10451" w:rsidP="00E10451">
      <w:pPr>
        <w:spacing w:line="360" w:lineRule="auto"/>
        <w:rPr>
          <w:rFonts w:eastAsia="Microsoft YaHei" w:cs="Times New Roman"/>
          <w:sz w:val="24"/>
          <w:szCs w:val="24"/>
        </w:rPr>
      </w:pPr>
    </w:p>
    <w:p w14:paraId="1EA32FDC" w14:textId="77777777" w:rsidR="00425ACF" w:rsidRDefault="00425ACF" w:rsidP="00425ACF">
      <w:pPr>
        <w:spacing w:line="360" w:lineRule="auto"/>
        <w:rPr>
          <w:rFonts w:eastAsia="Microsoft YaHei" w:cs="Times New Roman"/>
        </w:rPr>
      </w:pPr>
    </w:p>
    <w:p w14:paraId="756FC6F0" w14:textId="77777777" w:rsidR="00425ACF" w:rsidRDefault="00425ACF" w:rsidP="00425ACF">
      <w:pPr>
        <w:spacing w:line="360" w:lineRule="auto"/>
        <w:rPr>
          <w:rFonts w:eastAsia="Microsoft YaHei" w:cs="Times New Roman"/>
        </w:rPr>
      </w:pPr>
    </w:p>
    <w:p w14:paraId="5C2FD1FB" w14:textId="77777777" w:rsidR="00425ACF" w:rsidRDefault="00425ACF" w:rsidP="00425ACF">
      <w:pPr>
        <w:spacing w:line="360" w:lineRule="auto"/>
        <w:rPr>
          <w:rFonts w:eastAsia="Microsoft YaHei" w:cs="Times New Roman"/>
        </w:rPr>
      </w:pPr>
    </w:p>
    <w:p w14:paraId="3197807F" w14:textId="77777777" w:rsidR="00425ACF" w:rsidRDefault="00425ACF" w:rsidP="00425ACF">
      <w:pPr>
        <w:spacing w:line="360" w:lineRule="auto"/>
        <w:rPr>
          <w:rFonts w:eastAsia="Microsoft YaHei" w:cs="Times New Roman"/>
        </w:rPr>
      </w:pPr>
    </w:p>
    <w:p w14:paraId="1C295AB6" w14:textId="77777777" w:rsidR="00425ACF" w:rsidRDefault="00425ACF" w:rsidP="00425ACF">
      <w:pPr>
        <w:spacing w:line="360" w:lineRule="auto"/>
        <w:rPr>
          <w:rFonts w:eastAsia="Microsoft YaHei" w:cs="Times New Roman"/>
        </w:rPr>
      </w:pPr>
    </w:p>
    <w:p w14:paraId="7989B209" w14:textId="77777777" w:rsidR="00425ACF" w:rsidRDefault="00425ACF" w:rsidP="00425ACF">
      <w:pPr>
        <w:spacing w:line="360" w:lineRule="auto"/>
        <w:rPr>
          <w:rFonts w:eastAsia="Microsoft YaHei" w:cs="Times New Roman"/>
        </w:rPr>
      </w:pPr>
    </w:p>
    <w:p w14:paraId="327FECC5" w14:textId="77777777" w:rsidR="00425ACF" w:rsidRDefault="00425ACF" w:rsidP="00425ACF">
      <w:pPr>
        <w:spacing w:line="360" w:lineRule="auto"/>
        <w:rPr>
          <w:rFonts w:eastAsia="Microsoft YaHei" w:cs="Times New Roman"/>
        </w:rPr>
      </w:pPr>
    </w:p>
    <w:p w14:paraId="70AB11D0" w14:textId="77777777" w:rsidR="00425ACF" w:rsidRPr="00646DAA" w:rsidRDefault="00425ACF" w:rsidP="00425ACF">
      <w:pPr>
        <w:spacing w:line="360" w:lineRule="auto"/>
        <w:rPr>
          <w:rFonts w:eastAsia="Microsoft YaHei" w:cs="Times New Roman"/>
        </w:rPr>
      </w:pPr>
      <w:r>
        <w:rPr>
          <w:rFonts w:eastAsia="Microsoft YaHei" w:cs="Times New Roman" w:hint="eastAsia"/>
          <w:noProof/>
        </w:rPr>
        <w:drawing>
          <wp:inline distT="0" distB="0" distL="0" distR="0" wp14:anchorId="19FB58B6" wp14:editId="64662F16">
            <wp:extent cx="5274310" cy="3328582"/>
            <wp:effectExtent l="0" t="0" r="0" b="0"/>
            <wp:docPr id="7591357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35717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74701" w14:textId="77777777" w:rsidR="00425ACF" w:rsidRDefault="00425ACF" w:rsidP="00380BE7">
      <w:pPr>
        <w:spacing w:line="360" w:lineRule="auto"/>
        <w:rPr>
          <w:rFonts w:eastAsia="Microsoft YaHei" w:cs="Times New Roman"/>
          <w:b/>
          <w:bCs/>
          <w:sz w:val="24"/>
          <w:szCs w:val="24"/>
        </w:rPr>
      </w:pPr>
      <w:r w:rsidRPr="00425ACF">
        <w:rPr>
          <w:rFonts w:eastAsia="Microsoft YaHei" w:cs="Times New Roman"/>
          <w:b/>
          <w:bCs/>
          <w:sz w:val="24"/>
          <w:szCs w:val="24"/>
        </w:rPr>
        <w:t>Figure S2 Forest Plots by Treatment Modality for Score Changes in PASI, BSA, and PGA in Achieving a ≥90% Reduction in DLQI</w:t>
      </w:r>
    </w:p>
    <w:p w14:paraId="1B6429C8" w14:textId="0316D0D8" w:rsidR="00E10451" w:rsidRPr="00E10451" w:rsidRDefault="00E10451" w:rsidP="00E10451">
      <w:pPr>
        <w:spacing w:line="360" w:lineRule="auto"/>
        <w:rPr>
          <w:rFonts w:eastAsia="Microsoft YaHei" w:cs="Times New Roman"/>
          <w:sz w:val="24"/>
          <w:szCs w:val="24"/>
        </w:rPr>
      </w:pPr>
      <w:r w:rsidRPr="00E10451">
        <w:rPr>
          <w:rFonts w:eastAsia="Microsoft YaHei" w:cs="Times New Roman"/>
          <w:sz w:val="24"/>
          <w:szCs w:val="24"/>
        </w:rPr>
        <w:t>(A) Acitretin treatment group;</w:t>
      </w:r>
      <w:r>
        <w:rPr>
          <w:rFonts w:eastAsia="Microsoft YaHei" w:cs="Times New Roman"/>
          <w:sz w:val="24"/>
          <w:szCs w:val="24"/>
        </w:rPr>
        <w:t xml:space="preserve"> </w:t>
      </w:r>
      <w:r w:rsidRPr="00E10451">
        <w:rPr>
          <w:rFonts w:eastAsia="Microsoft YaHei" w:cs="Times New Roman"/>
          <w:sz w:val="24"/>
          <w:szCs w:val="24"/>
        </w:rPr>
        <w:t>(B) Methotrexate treatment group;</w:t>
      </w:r>
      <w:r>
        <w:rPr>
          <w:rFonts w:eastAsia="Microsoft YaHei" w:cs="Times New Roman"/>
          <w:sz w:val="24"/>
          <w:szCs w:val="24"/>
        </w:rPr>
        <w:t xml:space="preserve"> </w:t>
      </w:r>
      <w:r w:rsidRPr="00E10451">
        <w:rPr>
          <w:rFonts w:eastAsia="Microsoft YaHei" w:cs="Times New Roman"/>
          <w:sz w:val="24"/>
          <w:szCs w:val="24"/>
        </w:rPr>
        <w:t>(C) NB-UVB treatment group;</w:t>
      </w:r>
      <w:r>
        <w:rPr>
          <w:rFonts w:eastAsia="Microsoft YaHei" w:cs="Times New Roman"/>
          <w:sz w:val="24"/>
          <w:szCs w:val="24"/>
        </w:rPr>
        <w:t xml:space="preserve"> </w:t>
      </w:r>
      <w:r w:rsidRPr="00E10451">
        <w:rPr>
          <w:rFonts w:eastAsia="Microsoft YaHei" w:cs="Times New Roman"/>
          <w:sz w:val="24"/>
          <w:szCs w:val="24"/>
        </w:rPr>
        <w:t>(D) Biologics treatment group.</w:t>
      </w:r>
    </w:p>
    <w:p w14:paraId="0783AA7F" w14:textId="1CD23225" w:rsidR="00425ACF" w:rsidRPr="00B43F67" w:rsidRDefault="00380BE7" w:rsidP="00B43F67">
      <w:pPr>
        <w:spacing w:line="360" w:lineRule="auto"/>
        <w:rPr>
          <w:rFonts w:eastAsia="Microsoft YaHei" w:cs="Times New Roman"/>
          <w:sz w:val="24"/>
          <w:szCs w:val="24"/>
        </w:rPr>
      </w:pPr>
      <w:proofErr w:type="gramStart"/>
      <w:r w:rsidRPr="00380BE7">
        <w:rPr>
          <w:rFonts w:eastAsia="Microsoft YaHei" w:cs="Times New Roman"/>
          <w:sz w:val="24"/>
          <w:szCs w:val="24"/>
        </w:rPr>
        <w:t>OR,</w:t>
      </w:r>
      <w:proofErr w:type="gramEnd"/>
      <w:r w:rsidRPr="00380BE7">
        <w:rPr>
          <w:rFonts w:eastAsia="Microsoft YaHei" w:cs="Times New Roman"/>
          <w:sz w:val="24"/>
          <w:szCs w:val="24"/>
        </w:rPr>
        <w:t xml:space="preserve"> odds ratio; CI, confidence interval; PASI, psoriasis area and severity index; BSA, body surface area; PGA, Physician's Global Assessment; NB-UVB, narrow band ultraviolet</w:t>
      </w:r>
      <w:r w:rsidR="00B43F67">
        <w:rPr>
          <w:rFonts w:eastAsia="Microsoft YaHei" w:cs="Times New Roman" w:hint="eastAsia"/>
          <w:sz w:val="24"/>
          <w:szCs w:val="24"/>
        </w:rPr>
        <w:t>;</w:t>
      </w:r>
      <w:r w:rsidR="00B43F67">
        <w:rPr>
          <w:rFonts w:eastAsia="Microsoft YaHei" w:cs="Times New Roman"/>
          <w:sz w:val="24"/>
          <w:szCs w:val="24"/>
        </w:rPr>
        <w:t xml:space="preserve"> </w:t>
      </w:r>
      <w:r w:rsidRPr="00380BE7">
        <w:rPr>
          <w:rFonts w:eastAsia="Microsoft YaHei" w:cs="Times New Roman"/>
          <w:sz w:val="24"/>
          <w:szCs w:val="24"/>
        </w:rPr>
        <w:t>Quartile 1 (P0-P25); Quartile 2 (P25-P50); Quartile3 (P50-P75); Quartile 4 (P75-P100)</w:t>
      </w:r>
      <w:r w:rsidR="00B43F67">
        <w:rPr>
          <w:rFonts w:eastAsia="Microsoft YaHei" w:cs="Times New Roman"/>
          <w:sz w:val="24"/>
          <w:szCs w:val="24"/>
        </w:rPr>
        <w:t>.</w:t>
      </w:r>
      <w:r w:rsidR="00E10451">
        <w:rPr>
          <w:rFonts w:eastAsia="Microsoft YaHei" w:cs="Times New Roman"/>
          <w:sz w:val="24"/>
          <w:szCs w:val="24"/>
        </w:rPr>
        <w:t xml:space="preserve"> </w:t>
      </w:r>
      <w:r>
        <w:rPr>
          <w:rFonts w:ascii="Segoe UI Symbol" w:hAnsi="Segoe UI Symbol" w:cs="Segoe UI Symbol" w:hint="eastAsia"/>
          <w:sz w:val="24"/>
          <w:szCs w:val="24"/>
        </w:rPr>
        <w:t>★</w:t>
      </w:r>
      <w:r>
        <w:rPr>
          <w:rFonts w:ascii="Segoe UI Symbol" w:hAnsi="Segoe UI Symbol" w:cs="Segoe UI Symbol" w:hint="eastAsia"/>
          <w:sz w:val="24"/>
          <w:szCs w:val="24"/>
        </w:rPr>
        <w:t>:</w:t>
      </w:r>
      <w:r w:rsidRPr="00380BE7">
        <w:rPr>
          <w:rFonts w:cs="Times New Roman"/>
          <w:sz w:val="24"/>
          <w:szCs w:val="24"/>
        </w:rPr>
        <w:t xml:space="preserve"> number of patients in the quartile was 0, the OR could not be calculated</w:t>
      </w:r>
      <w:r w:rsidR="00B43F67">
        <w:rPr>
          <w:rFonts w:eastAsia="Microsoft YaHei" w:cs="Times New Roman" w:hint="eastAsia"/>
          <w:sz w:val="24"/>
          <w:szCs w:val="24"/>
        </w:rPr>
        <w:t>.</w:t>
      </w:r>
    </w:p>
    <w:p w14:paraId="61308B19" w14:textId="77777777" w:rsidR="00425ACF" w:rsidRPr="00425ACF" w:rsidRDefault="00425ACF" w:rsidP="00425ACF"/>
    <w:p w14:paraId="1E552A6E" w14:textId="77777777" w:rsidR="00425ACF" w:rsidRPr="00425ACF" w:rsidRDefault="00425ACF" w:rsidP="00425ACF"/>
    <w:p w14:paraId="44498A76" w14:textId="77777777" w:rsidR="00425ACF" w:rsidRPr="00425ACF" w:rsidRDefault="00425ACF" w:rsidP="00425ACF"/>
    <w:p w14:paraId="5451BC2A" w14:textId="77777777" w:rsidR="00425ACF" w:rsidRPr="00425ACF" w:rsidRDefault="00425ACF" w:rsidP="00425ACF"/>
    <w:p w14:paraId="5EAC754B" w14:textId="77777777" w:rsidR="00425ACF" w:rsidRPr="00425ACF" w:rsidRDefault="00425ACF" w:rsidP="00425ACF"/>
    <w:p w14:paraId="191C9684" w14:textId="77777777" w:rsidR="00425ACF" w:rsidRDefault="00425ACF" w:rsidP="00425ACF"/>
    <w:p w14:paraId="78C6F860" w14:textId="77777777" w:rsidR="00425ACF" w:rsidRPr="00425ACF" w:rsidRDefault="00425ACF" w:rsidP="00425ACF">
      <w:r>
        <w:rPr>
          <w:rFonts w:hint="eastAsia"/>
          <w:noProof/>
        </w:rPr>
        <w:lastRenderedPageBreak/>
        <w:drawing>
          <wp:inline distT="0" distB="0" distL="0" distR="0" wp14:anchorId="08228C8C" wp14:editId="78CA7321">
            <wp:extent cx="5270649" cy="3335532"/>
            <wp:effectExtent l="0" t="0" r="0" b="0"/>
            <wp:docPr id="16322649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64969" name="图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649" cy="333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8473" w14:textId="77777777" w:rsidR="00425ACF" w:rsidRPr="00425ACF" w:rsidRDefault="00425ACF" w:rsidP="00425ACF">
      <w:pPr>
        <w:spacing w:line="360" w:lineRule="auto"/>
        <w:rPr>
          <w:rFonts w:eastAsia="Microsoft YaHei" w:cs="Times New Roman"/>
          <w:b/>
          <w:bCs/>
          <w:sz w:val="24"/>
          <w:szCs w:val="24"/>
        </w:rPr>
      </w:pPr>
      <w:r w:rsidRPr="00425ACF">
        <w:rPr>
          <w:rFonts w:eastAsia="Microsoft YaHei" w:cs="Times New Roman"/>
          <w:b/>
          <w:bCs/>
          <w:sz w:val="24"/>
          <w:szCs w:val="24"/>
        </w:rPr>
        <w:t>Figure S3 Forest Plots by Treatment Modality for Score Percentage Changes in PASI, BSA, and PGA in Achieving a ≥90% Reduction in DLQI</w:t>
      </w:r>
    </w:p>
    <w:p w14:paraId="36C85671" w14:textId="77777777" w:rsidR="00E10451" w:rsidRDefault="00E10451" w:rsidP="00E10451">
      <w:pPr>
        <w:spacing w:line="360" w:lineRule="auto"/>
        <w:rPr>
          <w:rFonts w:eastAsia="Microsoft YaHei" w:cs="Times New Roman"/>
          <w:sz w:val="24"/>
          <w:szCs w:val="24"/>
        </w:rPr>
      </w:pPr>
      <w:r w:rsidRPr="00E10451">
        <w:rPr>
          <w:rFonts w:eastAsia="Microsoft YaHei" w:cs="Times New Roman"/>
          <w:sz w:val="24"/>
          <w:szCs w:val="24"/>
        </w:rPr>
        <w:t>(A) Acitretin treatment group;</w:t>
      </w:r>
      <w:r>
        <w:rPr>
          <w:rFonts w:eastAsia="Microsoft YaHei" w:cs="Times New Roman"/>
          <w:sz w:val="24"/>
          <w:szCs w:val="24"/>
        </w:rPr>
        <w:t xml:space="preserve"> </w:t>
      </w:r>
      <w:r w:rsidRPr="00E10451">
        <w:rPr>
          <w:rFonts w:eastAsia="Microsoft YaHei" w:cs="Times New Roman"/>
          <w:sz w:val="24"/>
          <w:szCs w:val="24"/>
        </w:rPr>
        <w:t>(B) Methotrexate treatment group;</w:t>
      </w:r>
      <w:r>
        <w:rPr>
          <w:rFonts w:eastAsia="Microsoft YaHei" w:cs="Times New Roman"/>
          <w:sz w:val="24"/>
          <w:szCs w:val="24"/>
        </w:rPr>
        <w:t xml:space="preserve"> </w:t>
      </w:r>
      <w:r w:rsidRPr="00E10451">
        <w:rPr>
          <w:rFonts w:eastAsia="Microsoft YaHei" w:cs="Times New Roman"/>
          <w:sz w:val="24"/>
          <w:szCs w:val="24"/>
        </w:rPr>
        <w:t>(C) NB-UVB treatment group;</w:t>
      </w:r>
      <w:r>
        <w:rPr>
          <w:rFonts w:eastAsia="Microsoft YaHei" w:cs="Times New Roman"/>
          <w:sz w:val="24"/>
          <w:szCs w:val="24"/>
        </w:rPr>
        <w:t xml:space="preserve"> </w:t>
      </w:r>
      <w:r w:rsidRPr="00E10451">
        <w:rPr>
          <w:rFonts w:eastAsia="Microsoft YaHei" w:cs="Times New Roman"/>
          <w:sz w:val="24"/>
          <w:szCs w:val="24"/>
        </w:rPr>
        <w:t>(D) Biologics treatment group.</w:t>
      </w:r>
    </w:p>
    <w:p w14:paraId="346BA7E9" w14:textId="73A87F73" w:rsidR="00380BE7" w:rsidRPr="00380BE7" w:rsidRDefault="00380BE7" w:rsidP="00380BE7">
      <w:pPr>
        <w:spacing w:line="360" w:lineRule="auto"/>
        <w:rPr>
          <w:rFonts w:eastAsia="Microsoft YaHei" w:cs="Times New Roman"/>
          <w:sz w:val="24"/>
          <w:szCs w:val="24"/>
        </w:rPr>
      </w:pPr>
      <w:proofErr w:type="gramStart"/>
      <w:r w:rsidRPr="00380BE7">
        <w:rPr>
          <w:rFonts w:eastAsia="Microsoft YaHei" w:cs="Times New Roman"/>
          <w:sz w:val="24"/>
          <w:szCs w:val="24"/>
        </w:rPr>
        <w:t>OR,</w:t>
      </w:r>
      <w:proofErr w:type="gramEnd"/>
      <w:r w:rsidRPr="00380BE7">
        <w:rPr>
          <w:rFonts w:eastAsia="Microsoft YaHei" w:cs="Times New Roman"/>
          <w:sz w:val="24"/>
          <w:szCs w:val="24"/>
        </w:rPr>
        <w:t xml:space="preserve"> odds ratio; CI, confidence interval; PASI, psoriasis area and severity index; BSA, body surface area; PGA, Physician's Global Assessment; PCT, percentage; NB-UVB, narrow band ultraviolet</w:t>
      </w:r>
      <w:r w:rsidR="00B43F67">
        <w:rPr>
          <w:rFonts w:eastAsia="Microsoft YaHei" w:cs="Times New Roman"/>
          <w:sz w:val="24"/>
          <w:szCs w:val="24"/>
        </w:rPr>
        <w:t xml:space="preserve">; </w:t>
      </w:r>
      <w:r w:rsidRPr="00380BE7">
        <w:rPr>
          <w:rFonts w:eastAsia="Microsoft YaHei" w:cs="Times New Roman"/>
          <w:sz w:val="24"/>
          <w:szCs w:val="24"/>
        </w:rPr>
        <w:t>Quartile 1 (P0-P25); Quartile 2 (P25-P50); Quartile3 (P50-P75); Quartile 4 (P75-P100)</w:t>
      </w:r>
      <w:r w:rsidR="00B43F67">
        <w:rPr>
          <w:rFonts w:eastAsia="Microsoft YaHei" w:cs="Times New Roman"/>
          <w:sz w:val="24"/>
          <w:szCs w:val="24"/>
        </w:rPr>
        <w:t>.</w:t>
      </w:r>
      <w:r w:rsidR="00E10451">
        <w:rPr>
          <w:rFonts w:eastAsia="Microsoft YaHei" w:cs="Times New Roman"/>
          <w:sz w:val="24"/>
          <w:szCs w:val="24"/>
        </w:rPr>
        <w:t xml:space="preserve"> </w:t>
      </w:r>
      <w:r>
        <w:rPr>
          <w:rFonts w:ascii="Segoe UI Symbol" w:hAnsi="Segoe UI Symbol" w:cs="Segoe UI Symbol" w:hint="eastAsia"/>
          <w:sz w:val="24"/>
          <w:szCs w:val="24"/>
        </w:rPr>
        <w:t>★</w:t>
      </w:r>
      <w:r>
        <w:rPr>
          <w:rFonts w:ascii="Segoe UI Symbol" w:hAnsi="Segoe UI Symbol" w:cs="Segoe UI Symbol" w:hint="eastAsia"/>
          <w:sz w:val="24"/>
          <w:szCs w:val="24"/>
        </w:rPr>
        <w:t>:</w:t>
      </w:r>
      <w:r w:rsidRPr="00380BE7">
        <w:rPr>
          <w:rFonts w:cs="Times New Roman"/>
          <w:sz w:val="24"/>
          <w:szCs w:val="24"/>
        </w:rPr>
        <w:t xml:space="preserve"> number of patients in the quartile was 0, the OR could not be calculated</w:t>
      </w:r>
      <w:r w:rsidR="00B43F67">
        <w:rPr>
          <w:rFonts w:cs="Times New Roman"/>
          <w:sz w:val="24"/>
          <w:szCs w:val="24"/>
        </w:rPr>
        <w:t>.</w:t>
      </w:r>
    </w:p>
    <w:p w14:paraId="21156C57" w14:textId="77777777" w:rsidR="00425ACF" w:rsidRPr="00380BE7" w:rsidRDefault="00425ACF" w:rsidP="00380BE7">
      <w:pPr>
        <w:rPr>
          <w:rFonts w:cs="Times New Roman"/>
        </w:rPr>
      </w:pPr>
    </w:p>
    <w:p w14:paraId="4DE9FF26" w14:textId="77777777" w:rsidR="00425ACF" w:rsidRDefault="00425ACF" w:rsidP="00425ACF"/>
    <w:p w14:paraId="24EE41D4" w14:textId="77777777" w:rsidR="00380BE7" w:rsidRDefault="00380BE7" w:rsidP="00425ACF"/>
    <w:p w14:paraId="63602081" w14:textId="77777777" w:rsidR="00380BE7" w:rsidRDefault="00380BE7" w:rsidP="00425ACF"/>
    <w:p w14:paraId="79CBE16E" w14:textId="77777777" w:rsidR="00380BE7" w:rsidRDefault="00380BE7" w:rsidP="00425ACF"/>
    <w:p w14:paraId="1D9440BC" w14:textId="77777777" w:rsidR="00380BE7" w:rsidRDefault="00380BE7" w:rsidP="00425ACF"/>
    <w:p w14:paraId="5B8424DE" w14:textId="77777777" w:rsidR="00380BE7" w:rsidRDefault="00380BE7" w:rsidP="00425ACF"/>
    <w:p w14:paraId="778737CE" w14:textId="77777777" w:rsidR="00380BE7" w:rsidRDefault="00380BE7" w:rsidP="00425ACF"/>
    <w:p w14:paraId="1974CDE7" w14:textId="77777777" w:rsidR="00380BE7" w:rsidRDefault="00380BE7" w:rsidP="00425ACF">
      <w:r>
        <w:rPr>
          <w:rFonts w:hint="eastAsia"/>
          <w:noProof/>
        </w:rPr>
        <w:drawing>
          <wp:inline distT="0" distB="0" distL="0" distR="0" wp14:anchorId="4E441B50" wp14:editId="14B6CA1A">
            <wp:extent cx="5274310" cy="5026689"/>
            <wp:effectExtent l="0" t="0" r="0" b="2540"/>
            <wp:docPr id="21199557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55713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D855" w14:textId="77777777" w:rsidR="00380BE7" w:rsidRPr="00576585" w:rsidRDefault="00B43F67" w:rsidP="00576585">
      <w:pPr>
        <w:spacing w:line="360" w:lineRule="auto"/>
        <w:rPr>
          <w:sz w:val="24"/>
          <w:szCs w:val="24"/>
        </w:rPr>
      </w:pPr>
      <w:r w:rsidRPr="00576585">
        <w:rPr>
          <w:rFonts w:eastAsia="Microsoft YaHei" w:cs="Times New Roman"/>
          <w:b/>
          <w:bCs/>
          <w:sz w:val="24"/>
          <w:szCs w:val="24"/>
        </w:rPr>
        <w:t>Figure S4</w:t>
      </w:r>
      <w:r w:rsidR="00380BE7" w:rsidRPr="00576585">
        <w:rPr>
          <w:sz w:val="24"/>
          <w:szCs w:val="24"/>
        </w:rPr>
        <w:t xml:space="preserve"> Comparison of DLQI Improvement Across Treatment Modalities</w:t>
      </w:r>
    </w:p>
    <w:p w14:paraId="2E76FE4F" w14:textId="77777777" w:rsidR="00380BE7" w:rsidRPr="00576585" w:rsidRDefault="00380BE7" w:rsidP="00576585">
      <w:pPr>
        <w:spacing w:line="360" w:lineRule="auto"/>
        <w:rPr>
          <w:sz w:val="24"/>
          <w:szCs w:val="24"/>
        </w:rPr>
      </w:pPr>
      <w:r w:rsidRPr="00576585">
        <w:rPr>
          <w:sz w:val="24"/>
          <w:szCs w:val="24"/>
        </w:rPr>
        <w:t xml:space="preserve">(A) Mean change in Dermatology Life Quality Index (DLQI) score from baseline to week 12 across four treatment modalities: acitretin, methotrexate, narrowband ultraviolet B (NB-UVB), and biologics. Error bars represent standard deviations. Significant between-group differences were observed, with biologics showing the greatest </w:t>
      </w:r>
      <w:proofErr w:type="gramStart"/>
      <w:r w:rsidRPr="00576585">
        <w:rPr>
          <w:sz w:val="24"/>
          <w:szCs w:val="24"/>
        </w:rPr>
        <w:t>DLQI improvement</w:t>
      </w:r>
      <w:proofErr w:type="gramEnd"/>
      <w:r w:rsidRPr="00576585">
        <w:rPr>
          <w:sz w:val="24"/>
          <w:szCs w:val="24"/>
        </w:rPr>
        <w:t xml:space="preserve"> (</w:t>
      </w:r>
      <w:r w:rsidRPr="00576585">
        <w:rPr>
          <w:i/>
          <w:iCs/>
          <w:sz w:val="24"/>
          <w:szCs w:val="24"/>
        </w:rPr>
        <w:t>P</w:t>
      </w:r>
      <w:r w:rsidRPr="00576585">
        <w:rPr>
          <w:sz w:val="24"/>
          <w:szCs w:val="24"/>
        </w:rPr>
        <w:t xml:space="preserve"> &lt; 0.05 for all comparisons with biologics).</w:t>
      </w:r>
    </w:p>
    <w:p w14:paraId="2606F6D7" w14:textId="77777777" w:rsidR="00380BE7" w:rsidRPr="00576585" w:rsidRDefault="00380BE7" w:rsidP="00576585">
      <w:pPr>
        <w:spacing w:line="360" w:lineRule="auto"/>
        <w:rPr>
          <w:sz w:val="24"/>
          <w:szCs w:val="24"/>
        </w:rPr>
      </w:pPr>
      <w:r w:rsidRPr="00576585">
        <w:rPr>
          <w:rFonts w:hint="eastAsia"/>
          <w:sz w:val="24"/>
          <w:szCs w:val="24"/>
        </w:rPr>
        <w:t>(B) Distribution of DLQI improvement at week 12 stratified by treatment group and expressed as percentage change quartiles: 0%</w:t>
      </w:r>
      <w:r w:rsidRPr="00576585">
        <w:rPr>
          <w:rFonts w:hint="eastAsia"/>
          <w:sz w:val="24"/>
          <w:szCs w:val="24"/>
        </w:rPr>
        <w:t>–</w:t>
      </w:r>
      <w:r w:rsidRPr="00576585">
        <w:rPr>
          <w:rFonts w:hint="eastAsia"/>
          <w:sz w:val="24"/>
          <w:szCs w:val="24"/>
        </w:rPr>
        <w:t>25%, 26%</w:t>
      </w:r>
      <w:r w:rsidRPr="00576585">
        <w:rPr>
          <w:rFonts w:hint="eastAsia"/>
          <w:sz w:val="24"/>
          <w:szCs w:val="24"/>
        </w:rPr>
        <w:t>–</w:t>
      </w:r>
      <w:r w:rsidRPr="00576585">
        <w:rPr>
          <w:rFonts w:hint="eastAsia"/>
          <w:sz w:val="24"/>
          <w:szCs w:val="24"/>
        </w:rPr>
        <w:t>50%, 51%</w:t>
      </w:r>
      <w:r w:rsidRPr="00576585">
        <w:rPr>
          <w:rFonts w:hint="eastAsia"/>
          <w:sz w:val="24"/>
          <w:szCs w:val="24"/>
        </w:rPr>
        <w:t>–</w:t>
      </w:r>
      <w:r w:rsidRPr="00576585">
        <w:rPr>
          <w:rFonts w:hint="eastAsia"/>
          <w:sz w:val="24"/>
          <w:szCs w:val="24"/>
        </w:rPr>
        <w:t>75%, and 76%</w:t>
      </w:r>
      <w:r w:rsidRPr="00576585">
        <w:rPr>
          <w:rFonts w:hint="eastAsia"/>
          <w:sz w:val="24"/>
          <w:szCs w:val="24"/>
        </w:rPr>
        <w:t>–</w:t>
      </w:r>
      <w:r w:rsidRPr="00576585">
        <w:rPr>
          <w:rFonts w:hint="eastAsia"/>
          <w:sz w:val="24"/>
          <w:szCs w:val="24"/>
        </w:rPr>
        <w:t xml:space="preserve">100%. </w:t>
      </w:r>
    </w:p>
    <w:p w14:paraId="74385D49" w14:textId="77777777" w:rsidR="00380BE7" w:rsidRPr="00576585" w:rsidRDefault="00380BE7" w:rsidP="00576585">
      <w:pPr>
        <w:spacing w:line="360" w:lineRule="auto"/>
        <w:rPr>
          <w:sz w:val="24"/>
          <w:szCs w:val="24"/>
        </w:rPr>
      </w:pPr>
    </w:p>
    <w:sectPr w:rsidR="00380BE7" w:rsidRPr="00576585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E0BC1" w14:textId="77777777" w:rsidR="00462B2D" w:rsidRDefault="00462B2D" w:rsidP="002F41FF">
      <w:r>
        <w:separator/>
      </w:r>
    </w:p>
  </w:endnote>
  <w:endnote w:type="continuationSeparator" w:id="0">
    <w:p w14:paraId="23BAB24E" w14:textId="77777777" w:rsidR="00462B2D" w:rsidRDefault="00462B2D" w:rsidP="002F4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pleSystemUIFont">
    <w:altName w:val="Calibri"/>
    <w:charset w:val="00"/>
    <w:family w:val="auto"/>
    <w:pitch w:val="default"/>
    <w:sig w:usb0="00000003" w:usb1="00000000" w:usb2="00000000" w:usb3="00000000" w:csb0="0000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D287B" w14:textId="0BF70058" w:rsidR="002F41FF" w:rsidRDefault="002F41F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DD4F43B" wp14:editId="4BDDEEE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21334127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C2EA3E" w14:textId="46A14F6C" w:rsidR="002F41FF" w:rsidRPr="002F41FF" w:rsidRDefault="002F41FF" w:rsidP="002F41FF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F41F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D4F4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textbox style="mso-fit-shape-to-text:t" inset="20pt,0,0,15pt">
                <w:txbxContent>
                  <w:p w14:paraId="6EC2EA3E" w14:textId="46A14F6C" w:rsidR="002F41FF" w:rsidRPr="002F41FF" w:rsidRDefault="002F41FF" w:rsidP="002F41FF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F41F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6D58A" w14:textId="5D02F30B" w:rsidR="002F41FF" w:rsidRDefault="002F41F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532E268" wp14:editId="74C813E7">
              <wp:simplePos x="1144402" y="9856447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362978027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979866" w14:textId="79BE5532" w:rsidR="002F41FF" w:rsidRPr="002F41FF" w:rsidRDefault="002F41FF" w:rsidP="002F41FF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F41F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32E26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textbox style="mso-fit-shape-to-text:t" inset="20pt,0,0,15pt">
                <w:txbxContent>
                  <w:p w14:paraId="53979866" w14:textId="79BE5532" w:rsidR="002F41FF" w:rsidRPr="002F41FF" w:rsidRDefault="002F41FF" w:rsidP="002F41FF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F41F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262EC" w14:textId="69A042F2" w:rsidR="002F41FF" w:rsidRDefault="002F41F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4353C2B" wp14:editId="2F32B54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25032555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B8BCEB" w14:textId="323437BF" w:rsidR="002F41FF" w:rsidRPr="002F41FF" w:rsidRDefault="002F41FF" w:rsidP="002F41FF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F41F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353C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4.2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textbox style="mso-fit-shape-to-text:t" inset="20pt,0,0,15pt">
                <w:txbxContent>
                  <w:p w14:paraId="08B8BCEB" w14:textId="323437BF" w:rsidR="002F41FF" w:rsidRPr="002F41FF" w:rsidRDefault="002F41FF" w:rsidP="002F41FF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F41F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603EF" w14:textId="77777777" w:rsidR="00462B2D" w:rsidRDefault="00462B2D" w:rsidP="002F41FF">
      <w:r>
        <w:separator/>
      </w:r>
    </w:p>
  </w:footnote>
  <w:footnote w:type="continuationSeparator" w:id="0">
    <w:p w14:paraId="0EF32C42" w14:textId="77777777" w:rsidR="00462B2D" w:rsidRDefault="00462B2D" w:rsidP="002F41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799"/>
    <w:rsid w:val="00025799"/>
    <w:rsid w:val="000641CF"/>
    <w:rsid w:val="00095A45"/>
    <w:rsid w:val="000B64DD"/>
    <w:rsid w:val="000E5ED8"/>
    <w:rsid w:val="00102197"/>
    <w:rsid w:val="001E2A99"/>
    <w:rsid w:val="002603E9"/>
    <w:rsid w:val="002954ED"/>
    <w:rsid w:val="002D3BE8"/>
    <w:rsid w:val="002F41FF"/>
    <w:rsid w:val="00302D4B"/>
    <w:rsid w:val="00317580"/>
    <w:rsid w:val="00327377"/>
    <w:rsid w:val="00371E1A"/>
    <w:rsid w:val="00380BE7"/>
    <w:rsid w:val="003C7987"/>
    <w:rsid w:val="003E0089"/>
    <w:rsid w:val="00425ACF"/>
    <w:rsid w:val="00430303"/>
    <w:rsid w:val="004562B7"/>
    <w:rsid w:val="00462B2D"/>
    <w:rsid w:val="00493B92"/>
    <w:rsid w:val="004E0A93"/>
    <w:rsid w:val="00506625"/>
    <w:rsid w:val="005661E3"/>
    <w:rsid w:val="00576585"/>
    <w:rsid w:val="00591287"/>
    <w:rsid w:val="005B70A2"/>
    <w:rsid w:val="005D563B"/>
    <w:rsid w:val="005F3C6E"/>
    <w:rsid w:val="006950D7"/>
    <w:rsid w:val="006B0532"/>
    <w:rsid w:val="006B48E7"/>
    <w:rsid w:val="006B6F9C"/>
    <w:rsid w:val="006C53D7"/>
    <w:rsid w:val="006D0318"/>
    <w:rsid w:val="00713E54"/>
    <w:rsid w:val="00722F9E"/>
    <w:rsid w:val="00752D61"/>
    <w:rsid w:val="007D0F1E"/>
    <w:rsid w:val="007F3CC1"/>
    <w:rsid w:val="0081534A"/>
    <w:rsid w:val="008F1358"/>
    <w:rsid w:val="00956E1B"/>
    <w:rsid w:val="00982F35"/>
    <w:rsid w:val="009B4A92"/>
    <w:rsid w:val="009D3C8B"/>
    <w:rsid w:val="009E4FF7"/>
    <w:rsid w:val="009F0A76"/>
    <w:rsid w:val="00AF55FA"/>
    <w:rsid w:val="00B43F67"/>
    <w:rsid w:val="00B716CD"/>
    <w:rsid w:val="00BA4CA1"/>
    <w:rsid w:val="00C47DB7"/>
    <w:rsid w:val="00C51BDD"/>
    <w:rsid w:val="00C60E93"/>
    <w:rsid w:val="00CB3F30"/>
    <w:rsid w:val="00CC15CD"/>
    <w:rsid w:val="00CD3223"/>
    <w:rsid w:val="00D0194B"/>
    <w:rsid w:val="00D1609B"/>
    <w:rsid w:val="00D6513B"/>
    <w:rsid w:val="00DE0D71"/>
    <w:rsid w:val="00E06AE6"/>
    <w:rsid w:val="00E10451"/>
    <w:rsid w:val="00E10949"/>
    <w:rsid w:val="00EC275E"/>
    <w:rsid w:val="00F2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8F0E5"/>
  <w15:chartTrackingRefBased/>
  <w15:docId w15:val="{94BDC126-9965-CB46-BEB2-FECD5F2A6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ppleSystemUIFont"/>
        <w:color w:val="000000" w:themeColor="text1"/>
        <w:sz w:val="28"/>
        <w:szCs w:val="26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F41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1FF"/>
  </w:style>
  <w:style w:type="character" w:styleId="CommentReference">
    <w:name w:val="annotation reference"/>
    <w:basedOn w:val="DefaultParagraphFont"/>
    <w:uiPriority w:val="99"/>
    <w:semiHidden/>
    <w:unhideWhenUsed/>
    <w:rsid w:val="00D01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19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1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94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13E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57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9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77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84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653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6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359</Words>
  <Characters>2048</Characters>
  <Application>Microsoft Office Word</Application>
  <DocSecurity>0</DocSecurity>
  <Lines>17</Lines>
  <Paragraphs>4</Paragraphs>
  <ScaleCrop>false</ScaleCrop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Ma</dc:creator>
  <cp:keywords/>
  <dc:description/>
  <cp:lastModifiedBy>Shaw, Grace</cp:lastModifiedBy>
  <cp:revision>3</cp:revision>
  <dcterms:created xsi:type="dcterms:W3CDTF">2025-08-03T20:12:00Z</dcterms:created>
  <dcterms:modified xsi:type="dcterms:W3CDTF">2025-08-03T20:13:00Z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4a867433,48521e5d,15a29aeb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2025-07-25T22:33:24Z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0b22b226-e641-41bc-bc07-e553a3bcd785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