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372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>Supplementary Material</w:t>
      </w:r>
    </w:p>
    <w:p w14:paraId="135687B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both"/>
        <w:textAlignment w:val="auto"/>
        <w:rPr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Supplementary Table 1</w:t>
      </w:r>
    </w:p>
    <w:p w14:paraId="62BFC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color w:val="auto"/>
          <w:szCs w:val="21"/>
          <w:highlight w:val="none"/>
        </w:rPr>
      </w:pPr>
      <w:r>
        <w:rPr>
          <w:rFonts w:hint="eastAsia"/>
          <w:color w:val="auto"/>
          <w:szCs w:val="21"/>
          <w:highlight w:val="none"/>
        </w:rPr>
        <w:t xml:space="preserve">Table </w:t>
      </w:r>
      <w:r>
        <w:rPr>
          <w:rFonts w:hint="eastAsia"/>
          <w:color w:val="auto"/>
          <w:szCs w:val="21"/>
          <w:highlight w:val="none"/>
          <w:lang w:val="en-US" w:eastAsia="zh-CN"/>
        </w:rPr>
        <w:t>1</w:t>
      </w:r>
      <w:r>
        <w:rPr>
          <w:rFonts w:hint="eastAsia"/>
          <w:color w:val="auto"/>
          <w:szCs w:val="21"/>
          <w:highlight w:val="none"/>
        </w:rPr>
        <w:t xml:space="preserve"> Clinicopathological features of 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25 </w:t>
      </w:r>
      <w:r>
        <w:rPr>
          <w:rFonts w:hint="eastAsia"/>
          <w:color w:val="auto"/>
          <w:szCs w:val="21"/>
          <w:highlight w:val="none"/>
        </w:rPr>
        <w:t>HCC patients</w:t>
      </w:r>
    </w:p>
    <w:tbl>
      <w:tblPr>
        <w:tblStyle w:val="4"/>
        <w:tblW w:w="55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73"/>
        <w:gridCol w:w="1865"/>
      </w:tblGrid>
      <w:tr w14:paraId="080B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7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5F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Clinicopathological features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0DE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Number of cases (n)</w:t>
            </w:r>
          </w:p>
        </w:tc>
      </w:tr>
      <w:tr w14:paraId="7E0A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6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6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Sex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56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Male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252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6B90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A4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82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Female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7CD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963B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3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4DD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 5</w:t>
            </w:r>
            <w:r>
              <w:rPr>
                <w:rStyle w:val="6"/>
                <w:rFonts w:eastAsia="宋体"/>
                <w:lang w:val="en-US" w:eastAsia="zh-CN" w:bidi="ar"/>
              </w:rPr>
              <w:t>5 years old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ED8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E36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0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E62D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 5</w:t>
            </w:r>
            <w:r>
              <w:rPr>
                <w:rStyle w:val="6"/>
                <w:rFonts w:eastAsia="宋体"/>
                <w:lang w:val="en-US" w:eastAsia="zh-CN" w:bidi="ar"/>
              </w:rPr>
              <w:t>5 years old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AFB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006C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FD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HBV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infection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28F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Positive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D0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2D99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A2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D82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Negative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A50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1A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69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Tumor number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72A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Single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A4C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7DE4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4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E30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Multiple (≥2)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943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D5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8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Tumor size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6B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 5 cm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31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8CA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9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50E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 5 cm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D6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17CE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11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TNM staging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1D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I-II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E5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513D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6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C59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181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III-IV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8DE0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</w:tbl>
    <w:p w14:paraId="150C630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jc w:val="both"/>
        <w:textAlignment w:val="auto"/>
        <w:rPr>
          <w:color w:val="auto"/>
          <w:highlight w:val="none"/>
        </w:rPr>
      </w:pPr>
      <w:r>
        <w:rPr>
          <w:rFonts w:hint="eastAsia" w:eastAsia="宋体"/>
          <w:b/>
          <w:bCs/>
          <w:color w:val="auto"/>
          <w:szCs w:val="21"/>
          <w:highlight w:val="none"/>
          <w:lang w:val="en-US" w:eastAsia="zh-CN"/>
        </w:rPr>
        <w:t xml:space="preserve">Note: </w:t>
      </w:r>
      <w:r>
        <w:rPr>
          <w:color w:val="auto"/>
          <w:szCs w:val="21"/>
          <w:highlight w:val="none"/>
        </w:rPr>
        <w:t>HBV, hepatitis B virus</w:t>
      </w:r>
      <w:r>
        <w:rPr>
          <w:rFonts w:hint="eastAsia" w:eastAsia="宋体"/>
          <w:color w:val="auto"/>
          <w:szCs w:val="21"/>
          <w:highlight w:val="none"/>
          <w:lang w:val="en-US" w:eastAsia="zh-CN"/>
        </w:rPr>
        <w:t>.</w:t>
      </w:r>
      <w:r>
        <w:rPr>
          <w:color w:val="auto"/>
          <w:szCs w:val="21"/>
          <w:highlight w:val="none"/>
        </w:rPr>
        <w:t xml:space="preserve"> </w:t>
      </w:r>
    </w:p>
    <w:p w14:paraId="08268E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</w:p>
    <w:p w14:paraId="3227DB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</w:p>
    <w:p w14:paraId="5DC0789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</w:p>
    <w:p w14:paraId="5DE7FFB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</w:p>
    <w:p w14:paraId="3F16BC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</w:pPr>
    </w:p>
    <w:p w14:paraId="5D9AFB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1</w:t>
      </w:r>
    </w:p>
    <w:p w14:paraId="53BC82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drawing>
          <wp:inline distT="0" distB="0" distL="114300" distR="114300">
            <wp:extent cx="5263515" cy="2844165"/>
            <wp:effectExtent l="0" t="0" r="13335" b="13335"/>
            <wp:docPr id="12" name="图片 12" descr="补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补充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8E0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Analysis of the correlation between PD-L1 and ITGB4 in the Linked Omics database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(https://www.linkedomics.org/login.php). </w:t>
      </w:r>
    </w:p>
    <w:p w14:paraId="3998F6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2</w:t>
      </w:r>
    </w:p>
    <w:p w14:paraId="5D95BF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5044440" cy="3216275"/>
            <wp:effectExtent l="0" t="0" r="3810" b="3175"/>
            <wp:docPr id="14" name="图片 14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EE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.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Flow cytometry assessment of apoptotic ability of different cell groups post sorafenib treatment.</w:t>
      </w:r>
    </w:p>
    <w:p w14:paraId="3DE065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</w:pPr>
    </w:p>
    <w:p w14:paraId="3AB1CA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</w:pPr>
    </w:p>
    <w:p w14:paraId="28195B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"/>
        </w:rPr>
        <w:t>3</w:t>
      </w:r>
    </w:p>
    <w:p w14:paraId="726B10C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3562350" cy="1805940"/>
            <wp:effectExtent l="0" t="0" r="0" b="3810"/>
            <wp:docPr id="13" name="图片 13" descr="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91B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Supplementary Figure </w:t>
      </w:r>
      <w:r>
        <w:rPr>
          <w:rFonts w:hint="eastAsia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HepG2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eastAsia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HepG2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superscript"/>
          <w:lang w:val="en-US" w:eastAsia="zh-CN" w:bidi="ar"/>
        </w:rPr>
        <w:t>PD-L1+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,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"/>
        </w:rPr>
        <w:t>SNU-387, and SNU-387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vertAlign w:val="superscript"/>
          <w:lang w:val="en-US" w:eastAsia="zh-CN" w:bidi="ar"/>
        </w:rPr>
        <w:t>PD-L1-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 xml:space="preserve"> terminal tumor solid image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.</w:t>
      </w:r>
    </w:p>
    <w:p w14:paraId="777F6A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 w:tentative="1">
        <w:start w:val="1"/>
        <w:numFmt w:val="decimal"/>
        <w:pStyle w:val="2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16F2E"/>
    <w:rsid w:val="683E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ind w:left="1434" w:hanging="357"/>
      <w:contextualSpacing/>
    </w:pPr>
    <w:rPr>
      <w:rFonts w:eastAsia="Cambria" w:cs="Times New Roman"/>
      <w:szCs w:val="24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2025-07-06T04:04:40Z</dcterms:created>
  <dc:creator>Administrator</dc:creator>
  <cp:lastModifiedBy>唐小龙</cp:lastModifiedBy>
  <dcterms:modified xsi:type="dcterms:W3CDTF">2025-07-06T04:05:02Z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eyJoZGlkIjoiODgzMTUwOWMwNzgyNGRiNGUxMjJjOTdlYWIzMTFjNDIiLCJ1c2VySWQiOiIyNTM2NzIyNjYifQ==</vt:lpwstr>
  </property>
  <property fmtid="{D5CDD505-2E9C-101B-9397-08002B2CF9AE}" pid="4" name="ICV">
    <vt:lpwstr>5BB2E12B0D0B44D59BC3CD2DDDF921CE_13</vt:lpwstr>
  </property>
</Properties>
</file>