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4F" w:rsidRPr="000C644F" w:rsidRDefault="000C644F" w:rsidP="000C644F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</w:rPr>
      </w:pPr>
      <w:proofErr w:type="gramStart"/>
      <w:r w:rsidRPr="000C644F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Supplementary Table 1.</w:t>
      </w:r>
      <w:proofErr w:type="gramEnd"/>
      <w:r w:rsidRPr="000C644F"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 xml:space="preserve"> Baseline Characteristics of Included versus Excluded Patients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5"/>
        <w:gridCol w:w="2070"/>
        <w:gridCol w:w="2116"/>
        <w:gridCol w:w="7103"/>
      </w:tblGrid>
      <w:tr w:rsidR="000C644F" w:rsidRPr="000C644F" w:rsidTr="00870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Variable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Included Patients (n=439)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Excluded Patients (n=161)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Reason for Exclusion (Dominant for Excluded Group)</w:t>
            </w: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 (years, mean ± SD)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55.0 ± 22.0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58.5 ± 20.1</w:t>
            </w:r>
          </w:p>
        </w:tc>
        <w:tc>
          <w:tcPr>
            <w:tcW w:w="0" w:type="auto"/>
            <w:vMerge w:val="restart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Treatment duration &lt; 2 days (n=50);</w:t>
            </w: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Severe comorbidities (advanced liver disease, hematological malignancies, sepsis, severe trauma, DIC) (n=45);</w:t>
            </w: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Concurrent use of heparin/oral anticoagulants (n=35);</w:t>
            </w: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Incomplete clinical data (n=20);</w:t>
            </w: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br/>
              <w:t>Allergy to related medications (n=11)</w:t>
            </w:r>
            <w:bookmarkStart w:id="0" w:name="_GoBack"/>
            <w:bookmarkEnd w:id="0"/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 Gender, n (%)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261 (59.45%)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90 (55.9%)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Malnutrition, n (%)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94 (21.41%)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 (24.8%)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Chronic Kidney Disease, n (%)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 (7.52%)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 (18.6%)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Recent Bleeding History, n (%)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126 (28.70%)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 (34.2%)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Serum </w:t>
            </w:r>
            <w:proofErr w:type="spellStart"/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Creatinine</w:t>
            </w:r>
            <w:proofErr w:type="spellEnd"/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(</w:t>
            </w:r>
            <w:proofErr w:type="spellStart"/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μmol</w:t>
            </w:r>
            <w:proofErr w:type="spellEnd"/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/L, mean ± SD)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73.9 ± 16.2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95.1 ± 25.5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C644F" w:rsidRPr="000C644F" w:rsidTr="008701CB">
        <w:trPr>
          <w:cantSplit/>
        </w:trPr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Albumin (g/L, mean ± SD)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38.3 ± 5.6</w:t>
            </w:r>
          </w:p>
        </w:tc>
        <w:tc>
          <w:tcPr>
            <w:tcW w:w="0" w:type="auto"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0C644F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36.5 ± 6.0</w:t>
            </w:r>
          </w:p>
        </w:tc>
        <w:tc>
          <w:tcPr>
            <w:tcW w:w="0" w:type="auto"/>
            <w:vMerge/>
            <w:hideMark/>
          </w:tcPr>
          <w:p w:rsidR="000C644F" w:rsidRPr="000C644F" w:rsidRDefault="000C644F" w:rsidP="008701CB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E61DAA" w:rsidRPr="000C644F" w:rsidRDefault="00E61DAA" w:rsidP="000C644F">
      <w:pPr>
        <w:rPr>
          <w:szCs w:val="21"/>
        </w:rPr>
      </w:pPr>
    </w:p>
    <w:sectPr w:rsidR="00E61DAA" w:rsidRPr="000C644F" w:rsidSect="008701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10" w:rsidRDefault="003B7A10" w:rsidP="000C644F">
      <w:r>
        <w:separator/>
      </w:r>
    </w:p>
  </w:endnote>
  <w:endnote w:type="continuationSeparator" w:id="0">
    <w:p w:rsidR="003B7A10" w:rsidRDefault="003B7A10" w:rsidP="000C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10" w:rsidRDefault="003B7A10" w:rsidP="000C644F">
      <w:r>
        <w:separator/>
      </w:r>
    </w:p>
  </w:footnote>
  <w:footnote w:type="continuationSeparator" w:id="0">
    <w:p w:rsidR="003B7A10" w:rsidRDefault="003B7A10" w:rsidP="000C6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B04"/>
    <w:rsid w:val="00074AE3"/>
    <w:rsid w:val="000C644F"/>
    <w:rsid w:val="00144B04"/>
    <w:rsid w:val="003B7A10"/>
    <w:rsid w:val="005D0B14"/>
    <w:rsid w:val="00813961"/>
    <w:rsid w:val="008701CB"/>
    <w:rsid w:val="00945B0A"/>
    <w:rsid w:val="009669A7"/>
    <w:rsid w:val="00B91C89"/>
    <w:rsid w:val="00E6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D0B14"/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0C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6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644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64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C64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5D0B14"/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4">
    <w:name w:val="header"/>
    <w:basedOn w:val="a"/>
    <w:link w:val="Char"/>
    <w:uiPriority w:val="99"/>
    <w:unhideWhenUsed/>
    <w:rsid w:val="000C64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644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64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644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C64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C64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2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2025-06-24T05:48:00Z</dcterms:created>
  <dcterms:modified xsi:type="dcterms:W3CDTF">2025-06-24T06:29:00Z</dcterms:modified>
</cp:coreProperties>
</file>