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B68D1" w14:textId="4BC3377D" w:rsidR="003104F3" w:rsidRDefault="003104F3" w:rsidP="00145837">
      <w:pPr>
        <w:widowControl w:val="0"/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noProof/>
          <w:color w:val="000000"/>
          <w:szCs w:val="20"/>
        </w:rPr>
        <w:drawing>
          <wp:anchor distT="0" distB="0" distL="114300" distR="114300" simplePos="0" relativeHeight="251658240" behindDoc="0" locked="0" layoutInCell="1" allowOverlap="1" wp14:anchorId="4B39217B" wp14:editId="41B751D9">
            <wp:simplePos x="0" y="0"/>
            <wp:positionH relativeFrom="column">
              <wp:posOffset>1162050</wp:posOffset>
            </wp:positionH>
            <wp:positionV relativeFrom="paragraph">
              <wp:posOffset>0</wp:posOffset>
            </wp:positionV>
            <wp:extent cx="2743200" cy="2400300"/>
            <wp:effectExtent l="0" t="0" r="0" b="0"/>
            <wp:wrapSquare wrapText="bothSides"/>
            <wp:docPr id="142806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6" t="2624" r="24549" b="6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E4BE58" w14:textId="77777777" w:rsidR="003104F3" w:rsidRDefault="003104F3" w:rsidP="00145837">
      <w:pPr>
        <w:widowControl w:val="0"/>
        <w:rPr>
          <w:rFonts w:cs="Arial"/>
          <w:b/>
          <w:bCs/>
          <w:color w:val="000000"/>
          <w:szCs w:val="20"/>
        </w:rPr>
      </w:pPr>
    </w:p>
    <w:p w14:paraId="3127744B" w14:textId="5F89FD31" w:rsidR="003104F3" w:rsidRDefault="003104F3" w:rsidP="00145837">
      <w:pPr>
        <w:widowControl w:val="0"/>
        <w:rPr>
          <w:rFonts w:cs="Arial"/>
          <w:b/>
          <w:bCs/>
          <w:color w:val="000000"/>
          <w:szCs w:val="20"/>
        </w:rPr>
      </w:pPr>
    </w:p>
    <w:p w14:paraId="46608023" w14:textId="77777777" w:rsidR="003104F3" w:rsidRDefault="003104F3" w:rsidP="00145837">
      <w:pPr>
        <w:widowControl w:val="0"/>
        <w:rPr>
          <w:rFonts w:cs="Arial"/>
          <w:b/>
          <w:bCs/>
          <w:color w:val="000000"/>
          <w:szCs w:val="20"/>
        </w:rPr>
      </w:pPr>
    </w:p>
    <w:p w14:paraId="1F0DE255" w14:textId="77777777" w:rsidR="003104F3" w:rsidRDefault="003104F3" w:rsidP="00145837">
      <w:pPr>
        <w:widowControl w:val="0"/>
        <w:rPr>
          <w:rFonts w:cs="Arial"/>
          <w:b/>
          <w:bCs/>
          <w:color w:val="000000"/>
          <w:szCs w:val="20"/>
        </w:rPr>
      </w:pPr>
    </w:p>
    <w:p w14:paraId="7AB58B59" w14:textId="77777777" w:rsidR="003104F3" w:rsidRDefault="003104F3" w:rsidP="00145837">
      <w:pPr>
        <w:widowControl w:val="0"/>
        <w:rPr>
          <w:rFonts w:cs="Arial"/>
          <w:b/>
          <w:bCs/>
          <w:color w:val="000000"/>
          <w:szCs w:val="20"/>
        </w:rPr>
      </w:pPr>
    </w:p>
    <w:p w14:paraId="48F0CB8B" w14:textId="77777777" w:rsidR="003104F3" w:rsidRDefault="003104F3" w:rsidP="00145837">
      <w:pPr>
        <w:widowControl w:val="0"/>
        <w:rPr>
          <w:rFonts w:cs="Arial"/>
          <w:b/>
          <w:bCs/>
          <w:color w:val="000000"/>
          <w:szCs w:val="20"/>
        </w:rPr>
      </w:pPr>
    </w:p>
    <w:p w14:paraId="5F403F9B" w14:textId="333D4921" w:rsidR="00145837" w:rsidRDefault="00145837" w:rsidP="00145837">
      <w:pPr>
        <w:widowControl w:val="0"/>
        <w:rPr>
          <w:rFonts w:cs="Arial"/>
          <w:color w:val="000000"/>
          <w:szCs w:val="20"/>
        </w:rPr>
      </w:pPr>
      <w:r w:rsidRPr="00736E4B">
        <w:rPr>
          <w:rFonts w:cs="Arial"/>
          <w:b/>
          <w:bCs/>
          <w:color w:val="000000"/>
          <w:szCs w:val="20"/>
        </w:rPr>
        <w:t>Supplementary Figure 1.</w:t>
      </w:r>
      <w:r w:rsidRPr="00736E4B">
        <w:rPr>
          <w:rFonts w:cs="Arial"/>
          <w:color w:val="000000"/>
          <w:szCs w:val="20"/>
        </w:rPr>
        <w:t xml:space="preserve"> Screening for optimal TNF-α stimulation </w:t>
      </w:r>
      <w:proofErr w:type="spellStart"/>
      <w:proofErr w:type="gramStart"/>
      <w:r w:rsidRPr="00736E4B">
        <w:rPr>
          <w:rFonts w:cs="Arial"/>
          <w:color w:val="000000"/>
          <w:szCs w:val="20"/>
        </w:rPr>
        <w:t>concentration.HUVECs</w:t>
      </w:r>
      <w:proofErr w:type="spellEnd"/>
      <w:proofErr w:type="gramEnd"/>
      <w:r w:rsidRPr="00736E4B">
        <w:rPr>
          <w:rFonts w:cs="Arial"/>
          <w:color w:val="000000"/>
          <w:szCs w:val="20"/>
        </w:rPr>
        <w:t xml:space="preserve"> were treated with TNF-α (2.5 ng/mL, 5 ng/mL, 10 ng/mL, 20 ng/mL, and 40 ng/mL) for 24 h, and cell proliferation was assessed by CCK-8 assay. The 10 ng/mL TNF-α treatment exhibited the most pronounced proliferative effect compared to untreated HUVECs. The data are presented as the means ± standard deviation of three independent experiments. </w:t>
      </w:r>
      <w:r w:rsidR="00B64A82" w:rsidRPr="00736E4B">
        <w:rPr>
          <w:rFonts w:cs="Arial"/>
          <w:color w:val="000000"/>
          <w:szCs w:val="20"/>
        </w:rPr>
        <w:t>***</w:t>
      </w:r>
      <w:r w:rsidR="00B64A82" w:rsidRPr="00736E4B">
        <w:rPr>
          <w:rFonts w:cs="Arial"/>
          <w:i/>
          <w:iCs/>
          <w:color w:val="000000"/>
          <w:szCs w:val="20"/>
        </w:rPr>
        <w:t>p</w:t>
      </w:r>
      <w:r w:rsidR="00B64A82" w:rsidRPr="00736E4B">
        <w:rPr>
          <w:rFonts w:cs="Arial"/>
          <w:color w:val="000000"/>
          <w:szCs w:val="20"/>
        </w:rPr>
        <w:t xml:space="preserve"> &lt; 0.001</w:t>
      </w:r>
      <w:r w:rsidRPr="00736E4B">
        <w:rPr>
          <w:rFonts w:cs="Arial"/>
          <w:color w:val="000000"/>
          <w:szCs w:val="20"/>
        </w:rPr>
        <w:t>.</w:t>
      </w:r>
    </w:p>
    <w:p w14:paraId="0595C0A3" w14:textId="77777777" w:rsidR="003104F3" w:rsidRDefault="003104F3" w:rsidP="00145837">
      <w:pPr>
        <w:widowControl w:val="0"/>
        <w:rPr>
          <w:rFonts w:cs="Arial"/>
          <w:color w:val="000000"/>
          <w:szCs w:val="20"/>
        </w:rPr>
      </w:pPr>
    </w:p>
    <w:p w14:paraId="2A64873C" w14:textId="77777777" w:rsidR="003104F3" w:rsidRDefault="003104F3" w:rsidP="00145837">
      <w:pPr>
        <w:widowControl w:val="0"/>
        <w:rPr>
          <w:rFonts w:cs="Arial"/>
          <w:color w:val="000000"/>
          <w:szCs w:val="20"/>
        </w:rPr>
      </w:pPr>
    </w:p>
    <w:p w14:paraId="67A8EF21" w14:textId="77777777" w:rsidR="003104F3" w:rsidRDefault="003104F3" w:rsidP="00145837">
      <w:pPr>
        <w:widowControl w:val="0"/>
        <w:rPr>
          <w:rFonts w:cs="Arial"/>
          <w:color w:val="000000"/>
          <w:szCs w:val="20"/>
        </w:rPr>
      </w:pPr>
    </w:p>
    <w:p w14:paraId="191A89FE" w14:textId="77777777" w:rsidR="003104F3" w:rsidRDefault="003104F3" w:rsidP="00145837">
      <w:pPr>
        <w:widowControl w:val="0"/>
        <w:rPr>
          <w:rFonts w:cs="Arial"/>
          <w:color w:val="000000"/>
          <w:szCs w:val="20"/>
        </w:rPr>
      </w:pPr>
    </w:p>
    <w:p w14:paraId="0BA3671D" w14:textId="77777777" w:rsidR="003104F3" w:rsidRDefault="003104F3" w:rsidP="00145837">
      <w:pPr>
        <w:widowControl w:val="0"/>
        <w:rPr>
          <w:rFonts w:cs="Arial"/>
          <w:color w:val="000000"/>
          <w:szCs w:val="20"/>
        </w:rPr>
      </w:pPr>
    </w:p>
    <w:p w14:paraId="162CCD79" w14:textId="77777777" w:rsidR="003104F3" w:rsidRDefault="003104F3" w:rsidP="00145837">
      <w:pPr>
        <w:widowControl w:val="0"/>
        <w:rPr>
          <w:rFonts w:cs="Arial"/>
          <w:color w:val="000000"/>
          <w:szCs w:val="20"/>
        </w:rPr>
      </w:pPr>
    </w:p>
    <w:p w14:paraId="7A9CB12A" w14:textId="77777777" w:rsidR="003104F3" w:rsidRDefault="003104F3" w:rsidP="00145837">
      <w:pPr>
        <w:widowControl w:val="0"/>
        <w:rPr>
          <w:rFonts w:cs="Arial"/>
          <w:color w:val="000000"/>
          <w:szCs w:val="20"/>
        </w:rPr>
      </w:pPr>
    </w:p>
    <w:p w14:paraId="4D4DA2C6" w14:textId="40C51364" w:rsidR="003104F3" w:rsidRDefault="003104F3" w:rsidP="00145837">
      <w:pPr>
        <w:widowControl w:val="0"/>
        <w:rPr>
          <w:rFonts w:cs="Arial"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lastRenderedPageBreak/>
        <w:drawing>
          <wp:inline distT="0" distB="0" distL="0" distR="0" wp14:anchorId="67D0A44E" wp14:editId="3376134A">
            <wp:extent cx="5248275" cy="4438650"/>
            <wp:effectExtent l="0" t="0" r="9525" b="0"/>
            <wp:docPr id="1140413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" b="4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DDDA7" w14:textId="77777777" w:rsidR="003104F3" w:rsidRDefault="003104F3" w:rsidP="00145837">
      <w:pPr>
        <w:widowControl w:val="0"/>
        <w:rPr>
          <w:rFonts w:cs="Arial"/>
          <w:color w:val="000000"/>
          <w:szCs w:val="20"/>
        </w:rPr>
      </w:pPr>
    </w:p>
    <w:p w14:paraId="451F2668" w14:textId="77777777" w:rsidR="003104F3" w:rsidRPr="00736E4B" w:rsidRDefault="003104F3" w:rsidP="00145837">
      <w:pPr>
        <w:widowControl w:val="0"/>
        <w:rPr>
          <w:rFonts w:cs="Arial"/>
          <w:color w:val="000000"/>
          <w:szCs w:val="20"/>
        </w:rPr>
      </w:pPr>
    </w:p>
    <w:p w14:paraId="3ED51711" w14:textId="7FAD37A9" w:rsidR="00145837" w:rsidRPr="00736E4B" w:rsidRDefault="00145837" w:rsidP="00145837">
      <w:pPr>
        <w:widowControl w:val="0"/>
        <w:rPr>
          <w:rFonts w:cs="Arial"/>
          <w:color w:val="000000"/>
          <w:szCs w:val="20"/>
          <w:lang w:eastAsia="zh-CN"/>
        </w:rPr>
      </w:pPr>
      <w:r w:rsidRPr="00736E4B">
        <w:rPr>
          <w:rFonts w:cs="Arial"/>
          <w:b/>
          <w:bCs/>
          <w:color w:val="000000"/>
          <w:szCs w:val="20"/>
        </w:rPr>
        <w:t xml:space="preserve">Supplementary Figure 2. </w:t>
      </w:r>
      <w:r w:rsidRPr="00736E4B">
        <w:rPr>
          <w:rFonts w:cs="Arial"/>
          <w:color w:val="000000"/>
          <w:szCs w:val="20"/>
        </w:rPr>
        <w:t xml:space="preserve">Screening for optimal Ang-(1-7) treatment concentration. HUVECs were treated with TNF-α (10 ng/mL) in the presence or absence of Ang-(1-7) (0.1 </w:t>
      </w:r>
      <w:proofErr w:type="spellStart"/>
      <w:r w:rsidRPr="00736E4B">
        <w:rPr>
          <w:rFonts w:cs="Arial"/>
          <w:color w:val="000000"/>
          <w:szCs w:val="20"/>
        </w:rPr>
        <w:t>μmol</w:t>
      </w:r>
      <w:proofErr w:type="spellEnd"/>
      <w:r w:rsidRPr="00736E4B">
        <w:rPr>
          <w:rFonts w:cs="Arial"/>
          <w:color w:val="000000"/>
          <w:szCs w:val="20"/>
        </w:rPr>
        <w:t xml:space="preserve">/L, 1 </w:t>
      </w:r>
      <w:proofErr w:type="spellStart"/>
      <w:r w:rsidRPr="00736E4B">
        <w:rPr>
          <w:rFonts w:cs="Arial"/>
          <w:color w:val="000000"/>
          <w:szCs w:val="20"/>
        </w:rPr>
        <w:t>μmol</w:t>
      </w:r>
      <w:proofErr w:type="spellEnd"/>
      <w:r w:rsidRPr="00736E4B">
        <w:rPr>
          <w:rFonts w:cs="Arial"/>
          <w:color w:val="000000"/>
          <w:szCs w:val="20"/>
        </w:rPr>
        <w:t xml:space="preserve">/L, or 10 </w:t>
      </w:r>
      <w:proofErr w:type="spellStart"/>
      <w:r w:rsidRPr="00736E4B">
        <w:rPr>
          <w:rFonts w:cs="Arial"/>
          <w:color w:val="000000"/>
          <w:szCs w:val="20"/>
        </w:rPr>
        <w:t>μmol</w:t>
      </w:r>
      <w:proofErr w:type="spellEnd"/>
      <w:r w:rsidRPr="00736E4B">
        <w:rPr>
          <w:rFonts w:cs="Arial"/>
          <w:color w:val="000000"/>
          <w:szCs w:val="20"/>
        </w:rPr>
        <w:t xml:space="preserve">/L) for 24 h. Cell migration was assessed by wound healing assay. The 10 </w:t>
      </w:r>
      <w:proofErr w:type="spellStart"/>
      <w:r w:rsidRPr="00736E4B">
        <w:rPr>
          <w:rFonts w:cs="Arial"/>
          <w:color w:val="000000"/>
          <w:szCs w:val="20"/>
        </w:rPr>
        <w:t>μmol</w:t>
      </w:r>
      <w:proofErr w:type="spellEnd"/>
      <w:r w:rsidRPr="00736E4B">
        <w:rPr>
          <w:rFonts w:cs="Arial"/>
          <w:color w:val="000000"/>
          <w:szCs w:val="20"/>
        </w:rPr>
        <w:t xml:space="preserve">/L Ang-(1-7) treatment showed the strongest inhibitory effect on </w:t>
      </w:r>
      <w:proofErr w:type="gramStart"/>
      <w:r w:rsidRPr="00736E4B">
        <w:rPr>
          <w:rFonts w:cs="Arial"/>
          <w:color w:val="000000"/>
          <w:szCs w:val="20"/>
        </w:rPr>
        <w:t>TNF-α-stimulated</w:t>
      </w:r>
      <w:proofErr w:type="gramEnd"/>
      <w:r w:rsidRPr="00736E4B">
        <w:rPr>
          <w:rFonts w:cs="Arial"/>
          <w:color w:val="000000"/>
          <w:szCs w:val="20"/>
        </w:rPr>
        <w:t xml:space="preserve"> HUVEC migration compared to untreated control. The data are presented as the means ± standard deviation of three independent experiments.</w:t>
      </w:r>
      <w:r w:rsidR="00B64A82" w:rsidRPr="00B64A82">
        <w:rPr>
          <w:rFonts w:cs="Arial"/>
          <w:color w:val="000000"/>
          <w:szCs w:val="20"/>
        </w:rPr>
        <w:t xml:space="preserve"> </w:t>
      </w:r>
      <w:r w:rsidR="00B64A82" w:rsidRPr="00736E4B">
        <w:rPr>
          <w:rFonts w:cs="Arial"/>
          <w:color w:val="000000"/>
          <w:szCs w:val="20"/>
        </w:rPr>
        <w:t>**</w:t>
      </w:r>
      <w:r w:rsidR="00B64A82" w:rsidRPr="00736E4B">
        <w:rPr>
          <w:rFonts w:cs="Arial"/>
          <w:i/>
          <w:iCs/>
          <w:color w:val="000000"/>
          <w:szCs w:val="20"/>
        </w:rPr>
        <w:t>p</w:t>
      </w:r>
      <w:r w:rsidR="00B64A82" w:rsidRPr="00736E4B">
        <w:rPr>
          <w:rFonts w:cs="Arial"/>
          <w:color w:val="000000"/>
          <w:szCs w:val="20"/>
        </w:rPr>
        <w:t xml:space="preserve"> &lt; 0.01, ***</w:t>
      </w:r>
      <w:r w:rsidR="00B64A82" w:rsidRPr="00736E4B">
        <w:rPr>
          <w:rFonts w:cs="Arial"/>
          <w:i/>
          <w:iCs/>
          <w:color w:val="000000"/>
          <w:szCs w:val="20"/>
        </w:rPr>
        <w:t>p</w:t>
      </w:r>
      <w:r w:rsidR="00B64A82" w:rsidRPr="00736E4B">
        <w:rPr>
          <w:rFonts w:cs="Arial"/>
          <w:color w:val="000000"/>
          <w:szCs w:val="20"/>
        </w:rPr>
        <w:t xml:space="preserve"> &lt; 0.001</w:t>
      </w:r>
      <w:r w:rsidRPr="00736E4B">
        <w:rPr>
          <w:rFonts w:cs="Arial"/>
          <w:color w:val="000000"/>
          <w:szCs w:val="20"/>
        </w:rPr>
        <w:t>.</w:t>
      </w:r>
    </w:p>
    <w:p w14:paraId="05354045" w14:textId="77777777" w:rsidR="002069B6" w:rsidRDefault="002069B6"/>
    <w:sectPr w:rsidR="002069B6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67C1F" w14:textId="77777777" w:rsidR="000419DF" w:rsidRDefault="000419DF" w:rsidP="00B64A82">
      <w:pPr>
        <w:spacing w:line="240" w:lineRule="auto"/>
      </w:pPr>
      <w:r>
        <w:separator/>
      </w:r>
    </w:p>
  </w:endnote>
  <w:endnote w:type="continuationSeparator" w:id="0">
    <w:p w14:paraId="0C5C45C1" w14:textId="77777777" w:rsidR="000419DF" w:rsidRDefault="000419DF" w:rsidP="00B64A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2CDA0" w14:textId="1AB52193" w:rsidR="003104F3" w:rsidRDefault="003104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1D5BCE6" wp14:editId="304FA7F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1886725745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6D9895" w14:textId="0D83521E" w:rsidR="003104F3" w:rsidRPr="003104F3" w:rsidRDefault="003104F3" w:rsidP="003104F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104F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D5BCE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Information Classification: General" style="position:absolute;margin-left:0;margin-top:0;width:164.25pt;height:36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3E6D9895" w14:textId="0D83521E" w:rsidR="003104F3" w:rsidRPr="003104F3" w:rsidRDefault="003104F3" w:rsidP="003104F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104F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0AD78" w14:textId="401887AF" w:rsidR="003104F3" w:rsidRDefault="003104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81A1F51" wp14:editId="6870B9C3">
              <wp:simplePos x="1143000" y="993457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1566592494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64662E" w14:textId="01B0C18A" w:rsidR="003104F3" w:rsidRPr="003104F3" w:rsidRDefault="003104F3" w:rsidP="003104F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104F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A1F5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formation Classification: General" style="position:absolute;margin-left:0;margin-top:0;width:164.25pt;height:36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1764662E" w14:textId="01B0C18A" w:rsidR="003104F3" w:rsidRPr="003104F3" w:rsidRDefault="003104F3" w:rsidP="003104F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104F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1581D" w14:textId="244AF648" w:rsidR="003104F3" w:rsidRDefault="003104F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D6E2F9" wp14:editId="35A30CA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69446508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B2C9A3" w14:textId="4AEE3E1E" w:rsidR="003104F3" w:rsidRPr="003104F3" w:rsidRDefault="003104F3" w:rsidP="003104F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104F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D6E2F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formation Classification: General" style="position:absolute;margin-left:0;margin-top:0;width:164.25pt;height:36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29B2C9A3" w14:textId="4AEE3E1E" w:rsidR="003104F3" w:rsidRPr="003104F3" w:rsidRDefault="003104F3" w:rsidP="003104F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104F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8FCD1" w14:textId="77777777" w:rsidR="000419DF" w:rsidRDefault="000419DF" w:rsidP="00B64A82">
      <w:pPr>
        <w:spacing w:line="240" w:lineRule="auto"/>
      </w:pPr>
      <w:r>
        <w:separator/>
      </w:r>
    </w:p>
  </w:footnote>
  <w:footnote w:type="continuationSeparator" w:id="0">
    <w:p w14:paraId="5D857A19" w14:textId="77777777" w:rsidR="000419DF" w:rsidRDefault="000419DF" w:rsidP="00B64A8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837"/>
    <w:rsid w:val="000419DF"/>
    <w:rsid w:val="00145837"/>
    <w:rsid w:val="002069B6"/>
    <w:rsid w:val="00273FB9"/>
    <w:rsid w:val="003104F3"/>
    <w:rsid w:val="003538C1"/>
    <w:rsid w:val="00886FA5"/>
    <w:rsid w:val="00AE4C7C"/>
    <w:rsid w:val="00B64A82"/>
    <w:rsid w:val="00B82DAA"/>
    <w:rsid w:val="00C524EA"/>
    <w:rsid w:val="00CC544E"/>
    <w:rsid w:val="00E5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071068"/>
  <w14:defaultImageDpi w14:val="32767"/>
  <w15:chartTrackingRefBased/>
  <w15:docId w15:val="{860D2812-36AA-4466-A625-AAC8ACA6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837"/>
    <w:pPr>
      <w:spacing w:line="480" w:lineRule="auto"/>
    </w:pPr>
    <w:rPr>
      <w:rFonts w:ascii="Arial" w:hAnsi="Arial" w:cs="Times New Roman"/>
      <w:kern w:val="0"/>
      <w:sz w:val="20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5837"/>
    <w:pPr>
      <w:keepNext/>
      <w:keepLines/>
      <w:widowControl w:val="0"/>
      <w:spacing w:before="480" w:after="8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5837"/>
    <w:pPr>
      <w:keepNext/>
      <w:keepLines/>
      <w:widowControl w:val="0"/>
      <w:spacing w:before="160" w:after="80" w:line="240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5837"/>
    <w:pPr>
      <w:keepNext/>
      <w:keepLines/>
      <w:widowControl w:val="0"/>
      <w:spacing w:before="160" w:after="80" w:line="240" w:lineRule="auto"/>
      <w:jc w:val="both"/>
      <w:outlineLvl w:val="2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5837"/>
    <w:pPr>
      <w:keepNext/>
      <w:keepLines/>
      <w:widowControl w:val="0"/>
      <w:spacing w:before="80" w:after="40" w:line="240" w:lineRule="auto"/>
      <w:jc w:val="both"/>
      <w:outlineLvl w:val="3"/>
    </w:pPr>
    <w:rPr>
      <w:rFonts w:asciiTheme="minorHAnsi" w:hAnsiTheme="minorHAnsi" w:cstheme="majorBidi"/>
      <w:color w:val="2F5496" w:themeColor="accent1" w:themeShade="BF"/>
      <w:kern w:val="2"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837"/>
    <w:pPr>
      <w:keepNext/>
      <w:keepLines/>
      <w:widowControl w:val="0"/>
      <w:spacing w:before="80" w:after="40" w:line="240" w:lineRule="auto"/>
      <w:jc w:val="both"/>
      <w:outlineLvl w:val="4"/>
    </w:pPr>
    <w:rPr>
      <w:rFonts w:asciiTheme="minorHAnsi" w:hAnsiTheme="minorHAnsi" w:cstheme="majorBidi"/>
      <w:color w:val="2F5496" w:themeColor="accent1" w:themeShade="BF"/>
      <w:kern w:val="2"/>
      <w:sz w:val="24"/>
      <w:lang w:eastAsia="zh-C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5837"/>
    <w:pPr>
      <w:keepNext/>
      <w:keepLines/>
      <w:widowControl w:val="0"/>
      <w:spacing w:before="40" w:line="240" w:lineRule="auto"/>
      <w:jc w:val="both"/>
      <w:outlineLvl w:val="5"/>
    </w:pPr>
    <w:rPr>
      <w:rFonts w:asciiTheme="minorHAnsi" w:hAnsiTheme="minorHAnsi" w:cstheme="majorBidi"/>
      <w:b/>
      <w:bCs/>
      <w:color w:val="2F5496" w:themeColor="accent1" w:themeShade="BF"/>
      <w:kern w:val="2"/>
      <w:sz w:val="21"/>
      <w:szCs w:val="22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5837"/>
    <w:pPr>
      <w:keepNext/>
      <w:keepLines/>
      <w:widowControl w:val="0"/>
      <w:spacing w:before="40" w:line="240" w:lineRule="auto"/>
      <w:jc w:val="both"/>
      <w:outlineLvl w:val="6"/>
    </w:pPr>
    <w:rPr>
      <w:rFonts w:asciiTheme="minorHAnsi" w:hAnsiTheme="minorHAnsi" w:cstheme="majorBidi"/>
      <w:b/>
      <w:bCs/>
      <w:color w:val="595959" w:themeColor="text1" w:themeTint="A6"/>
      <w:kern w:val="2"/>
      <w:sz w:val="21"/>
      <w:szCs w:val="22"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5837"/>
    <w:pPr>
      <w:keepNext/>
      <w:keepLines/>
      <w:widowControl w:val="0"/>
      <w:spacing w:line="240" w:lineRule="auto"/>
      <w:jc w:val="both"/>
      <w:outlineLvl w:val="7"/>
    </w:pPr>
    <w:rPr>
      <w:rFonts w:asciiTheme="minorHAnsi" w:hAnsiTheme="minorHAnsi" w:cstheme="majorBidi"/>
      <w:color w:val="595959" w:themeColor="text1" w:themeTint="A6"/>
      <w:kern w:val="2"/>
      <w:sz w:val="21"/>
      <w:szCs w:val="22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5837"/>
    <w:pPr>
      <w:keepNext/>
      <w:keepLines/>
      <w:widowControl w:val="0"/>
      <w:spacing w:line="240" w:lineRule="auto"/>
      <w:jc w:val="both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583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58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58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5837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5837"/>
    <w:rPr>
      <w:rFonts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5837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5837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5837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5837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145837"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1458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5837"/>
    <w:pPr>
      <w:widowControl w:val="0"/>
      <w:numPr>
        <w:ilvl w:val="1"/>
      </w:numPr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14583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5837"/>
    <w:pPr>
      <w:widowControl w:val="0"/>
      <w:spacing w:before="160" w:after="160" w:line="240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1"/>
      <w:szCs w:val="22"/>
      <w:lang w:eastAsia="zh-CN"/>
    </w:rPr>
  </w:style>
  <w:style w:type="character" w:customStyle="1" w:styleId="QuoteChar">
    <w:name w:val="Quote Char"/>
    <w:basedOn w:val="DefaultParagraphFont"/>
    <w:link w:val="Quote"/>
    <w:uiPriority w:val="29"/>
    <w:rsid w:val="001458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5837"/>
    <w:pPr>
      <w:widowControl w:val="0"/>
      <w:spacing w:line="240" w:lineRule="auto"/>
      <w:ind w:left="720"/>
      <w:contextualSpacing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styleId="IntenseEmphasis">
    <w:name w:val="Intense Emphasis"/>
    <w:basedOn w:val="DefaultParagraphFont"/>
    <w:uiPriority w:val="21"/>
    <w:qFormat/>
    <w:rsid w:val="0014583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5837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1"/>
      <w:szCs w:val="22"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583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583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64A8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64A82"/>
    <w:rPr>
      <w:rFonts w:ascii="Arial" w:hAnsi="Arial" w:cs="Times New Roman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64A8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64A82"/>
    <w:rPr>
      <w:rFonts w:ascii="Arial" w:hAnsi="Arial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 zhang</dc:creator>
  <cp:keywords/>
  <dc:description/>
  <cp:lastModifiedBy>Lee, Boon</cp:lastModifiedBy>
  <cp:revision>2</cp:revision>
  <dcterms:created xsi:type="dcterms:W3CDTF">2025-08-06T23:01:00Z</dcterms:created>
  <dcterms:modified xsi:type="dcterms:W3CDTF">2025-08-06T23:01:00Z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2964b23c,70752671,5d604dee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2025-07-31T20:41:53Z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25fe5144-637d-43c8-9833-b9993cb7acdd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