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DE6BF" w14:textId="45451C50" w:rsidR="0051396E" w:rsidRPr="006A0FA9" w:rsidRDefault="00C56BD6" w:rsidP="00B535DB">
      <w:pPr>
        <w:widowControl/>
        <w:spacing w:after="160" w:line="36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Supplementary Material 1: </w:t>
      </w:r>
      <w:r w:rsidR="00703861" w:rsidRPr="006A0FA9">
        <w:rPr>
          <w:rFonts w:hint="eastAsia"/>
          <w:b/>
          <w:bCs/>
          <w:sz w:val="24"/>
          <w:szCs w:val="24"/>
        </w:rPr>
        <w:t>Supplementary Methods</w:t>
      </w:r>
    </w:p>
    <w:p w14:paraId="789A28CA" w14:textId="77777777" w:rsidR="00703861" w:rsidRPr="006A0FA9" w:rsidRDefault="00703861" w:rsidP="00B535DB">
      <w:pPr>
        <w:widowControl/>
        <w:spacing w:after="160" w:line="360" w:lineRule="auto"/>
        <w:jc w:val="left"/>
        <w:rPr>
          <w:sz w:val="24"/>
          <w:szCs w:val="24"/>
        </w:rPr>
      </w:pPr>
      <w:r w:rsidRPr="006A0FA9">
        <w:rPr>
          <w:sz w:val="24"/>
          <w:szCs w:val="24"/>
        </w:rPr>
        <w:t>The five national cohorts included in this study were Cohorts 1, 4, 6, 7, and 9 from the “13th Five-Year Plan” program.</w:t>
      </w:r>
    </w:p>
    <w:p w14:paraId="4D1BD3CE" w14:textId="77777777" w:rsidR="00703861" w:rsidRPr="006A0FA9" w:rsidRDefault="00703861" w:rsidP="00B535DB">
      <w:pPr>
        <w:widowControl/>
        <w:spacing w:after="160" w:line="360" w:lineRule="auto"/>
        <w:jc w:val="left"/>
        <w:rPr>
          <w:sz w:val="24"/>
          <w:szCs w:val="24"/>
        </w:rPr>
      </w:pPr>
      <w:r w:rsidRPr="006A0FA9">
        <w:rPr>
          <w:sz w:val="24"/>
          <w:szCs w:val="24"/>
        </w:rPr>
        <w:t>Cohort 1 was established during China’s “11th Five-Year” national research initiative and was designed to evaluate the applicability of the D4T+3TC+NVP and AZT+3TC+NVP regimens in the Chinese population.</w:t>
      </w:r>
    </w:p>
    <w:p w14:paraId="3F995A95" w14:textId="77777777" w:rsidR="00703861" w:rsidRPr="006A0FA9" w:rsidRDefault="00703861" w:rsidP="00B535DB">
      <w:pPr>
        <w:widowControl/>
        <w:spacing w:after="160" w:line="360" w:lineRule="auto"/>
        <w:jc w:val="left"/>
        <w:rPr>
          <w:sz w:val="24"/>
          <w:szCs w:val="24"/>
        </w:rPr>
      </w:pPr>
      <w:r w:rsidRPr="006A0FA9">
        <w:rPr>
          <w:sz w:val="24"/>
          <w:szCs w:val="24"/>
        </w:rPr>
        <w:t>Cohort 4 aimed to assess the therapeutic efficacy of the combination regimen of tenofovir disoproxil fumarate, lamivudine, and efavirenz (TDF+3TC+EFV) in Chinese individuals. This cohort primarily enrolled patients with chronic HIV-1 infection and baseline CD4 counts &lt;500 cells/mm³, all of whom received TDF+3TC+EFV.</w:t>
      </w:r>
    </w:p>
    <w:p w14:paraId="7934CA4F" w14:textId="77777777" w:rsidR="00703861" w:rsidRPr="006A0FA9" w:rsidRDefault="00703861" w:rsidP="00B535DB">
      <w:pPr>
        <w:widowControl/>
        <w:spacing w:after="160" w:line="360" w:lineRule="auto"/>
        <w:jc w:val="left"/>
        <w:rPr>
          <w:sz w:val="24"/>
          <w:szCs w:val="24"/>
        </w:rPr>
      </w:pPr>
      <w:r w:rsidRPr="006A0FA9">
        <w:rPr>
          <w:sz w:val="24"/>
          <w:szCs w:val="24"/>
        </w:rPr>
        <w:t>Cohort 6 enrolled HIV-1–infected individuals from AIDS prevention and treatment demonstration zones and high-prevalence regions such as Yunnan and Guangxi provinces. The objective was to evaluate the effectiveness of TDF+3TC+EFV in settings with high HIV transmission rates.</w:t>
      </w:r>
    </w:p>
    <w:p w14:paraId="79424423" w14:textId="77777777" w:rsidR="00703861" w:rsidRPr="006A0FA9" w:rsidRDefault="00703861" w:rsidP="00B535DB">
      <w:pPr>
        <w:widowControl/>
        <w:spacing w:after="160" w:line="360" w:lineRule="auto"/>
        <w:jc w:val="left"/>
        <w:rPr>
          <w:sz w:val="24"/>
          <w:szCs w:val="24"/>
        </w:rPr>
      </w:pPr>
      <w:r w:rsidRPr="006A0FA9">
        <w:rPr>
          <w:sz w:val="24"/>
          <w:szCs w:val="24"/>
        </w:rPr>
        <w:t>Cohort 7 was designed to investigate the long-term risk of osteoporosis associated with TDF-based therapy in Chinese people living with HIV. All participants received the TDF+3TC+EFV regimen and were randomly assigned to either receive or not receive vitamin D₃ supplementation.</w:t>
      </w:r>
    </w:p>
    <w:p w14:paraId="7E3CF443" w14:textId="77777777" w:rsidR="00703861" w:rsidRPr="006A0FA9" w:rsidRDefault="00703861" w:rsidP="00B535DB">
      <w:pPr>
        <w:widowControl/>
        <w:spacing w:after="160" w:line="360" w:lineRule="auto"/>
        <w:jc w:val="left"/>
        <w:rPr>
          <w:sz w:val="24"/>
          <w:szCs w:val="24"/>
        </w:rPr>
      </w:pPr>
      <w:r w:rsidRPr="006A0FA9">
        <w:rPr>
          <w:sz w:val="24"/>
          <w:szCs w:val="24"/>
        </w:rPr>
        <w:t>Cohort 9 focused on evaluating the safety and efficacy of a reduced-dose efavirenz regimen (600 mg to 400 mg) within the standard TDF+3TC+EFV combination.</w:t>
      </w:r>
    </w:p>
    <w:p w14:paraId="0373B0CB" w14:textId="77777777" w:rsidR="0051396E" w:rsidRPr="006A0FA9" w:rsidRDefault="0051396E" w:rsidP="00B535DB">
      <w:pPr>
        <w:widowControl/>
        <w:spacing w:after="160" w:line="360" w:lineRule="auto"/>
        <w:jc w:val="left"/>
        <w:rPr>
          <w:b/>
          <w:bCs/>
          <w:sz w:val="24"/>
          <w:szCs w:val="24"/>
        </w:rPr>
      </w:pPr>
      <w:r w:rsidRPr="006A0FA9">
        <w:rPr>
          <w:b/>
          <w:bCs/>
          <w:sz w:val="24"/>
          <w:szCs w:val="24"/>
        </w:rPr>
        <w:br w:type="page"/>
      </w:r>
    </w:p>
    <w:p w14:paraId="0852185E" w14:textId="6B01D931" w:rsidR="00C82220" w:rsidRPr="006A0FA9" w:rsidRDefault="00C82220" w:rsidP="00B535DB">
      <w:pPr>
        <w:widowControl/>
        <w:spacing w:line="360" w:lineRule="auto"/>
        <w:jc w:val="left"/>
        <w:rPr>
          <w:b/>
          <w:bCs/>
          <w:sz w:val="24"/>
          <w:szCs w:val="24"/>
        </w:rPr>
      </w:pPr>
      <w:r w:rsidRPr="006A0FA9">
        <w:rPr>
          <w:b/>
          <w:bCs/>
          <w:sz w:val="24"/>
          <w:szCs w:val="24"/>
        </w:rPr>
        <w:lastRenderedPageBreak/>
        <w:t>Supplement</w:t>
      </w:r>
      <w:r w:rsidR="00A1358F" w:rsidRPr="006A0FA9">
        <w:rPr>
          <w:rFonts w:hint="eastAsia"/>
          <w:b/>
          <w:bCs/>
          <w:sz w:val="24"/>
          <w:szCs w:val="24"/>
        </w:rPr>
        <w:t>ary</w:t>
      </w:r>
      <w:r w:rsidRPr="006A0FA9">
        <w:rPr>
          <w:b/>
          <w:bCs/>
          <w:sz w:val="24"/>
          <w:szCs w:val="24"/>
        </w:rPr>
        <w:t xml:space="preserve"> </w:t>
      </w:r>
      <w:r w:rsidR="00A1358F" w:rsidRPr="006A0FA9">
        <w:rPr>
          <w:rFonts w:hint="eastAsia"/>
          <w:b/>
          <w:bCs/>
          <w:sz w:val="24"/>
          <w:szCs w:val="24"/>
        </w:rPr>
        <w:t>T</w:t>
      </w:r>
      <w:r w:rsidRPr="006A0FA9">
        <w:rPr>
          <w:b/>
          <w:bCs/>
          <w:sz w:val="24"/>
          <w:szCs w:val="24"/>
        </w:rPr>
        <w:t>able 1.</w:t>
      </w:r>
      <w:r w:rsidRPr="006A0FA9">
        <w:rPr>
          <w:sz w:val="24"/>
          <w:szCs w:val="24"/>
        </w:rPr>
        <w:t xml:space="preserve"> </w:t>
      </w:r>
      <w:r w:rsidRPr="006A0FA9">
        <w:rPr>
          <w:b/>
          <w:bCs/>
          <w:sz w:val="24"/>
          <w:szCs w:val="24"/>
        </w:rPr>
        <w:t>Fully a</w:t>
      </w:r>
      <w:r w:rsidRPr="006A0FA9">
        <w:rPr>
          <w:rFonts w:hint="eastAsia"/>
          <w:b/>
          <w:bCs/>
          <w:sz w:val="24"/>
          <w:szCs w:val="24"/>
        </w:rPr>
        <w:t xml:space="preserve">djusted Cox regression model including age, sex, baseline CD4+ T cell counts and baseline viral load. </w:t>
      </w:r>
    </w:p>
    <w:tbl>
      <w:tblPr>
        <w:tblStyle w:val="PlainTable2"/>
        <w:tblW w:w="5000" w:type="pct"/>
        <w:tblLook w:val="0620" w:firstRow="1" w:lastRow="0" w:firstColumn="0" w:lastColumn="0" w:noHBand="1" w:noVBand="1"/>
      </w:tblPr>
      <w:tblGrid>
        <w:gridCol w:w="3543"/>
        <w:gridCol w:w="3544"/>
        <w:gridCol w:w="1939"/>
      </w:tblGrid>
      <w:tr w:rsidR="00C82220" w:rsidRPr="006A0FA9" w14:paraId="73B94E66" w14:textId="77777777" w:rsidTr="00164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3" w:type="pct"/>
          </w:tcPr>
          <w:p w14:paraId="507D7F9A" w14:textId="77777777" w:rsidR="00C82220" w:rsidRPr="006A0FA9" w:rsidRDefault="00C82220" w:rsidP="00B535DB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63" w:type="pct"/>
          </w:tcPr>
          <w:p w14:paraId="79950C49" w14:textId="77777777" w:rsidR="00C82220" w:rsidRPr="006A0FA9" w:rsidRDefault="00C82220" w:rsidP="00B535DB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6A0FA9">
              <w:rPr>
                <w:sz w:val="24"/>
                <w:szCs w:val="24"/>
              </w:rPr>
              <w:t>A</w:t>
            </w:r>
            <w:r w:rsidRPr="006A0FA9">
              <w:rPr>
                <w:rFonts w:hint="eastAsia"/>
                <w:sz w:val="24"/>
                <w:szCs w:val="24"/>
              </w:rPr>
              <w:t>djusted HR [95% CI]</w:t>
            </w:r>
          </w:p>
        </w:tc>
        <w:tc>
          <w:tcPr>
            <w:tcW w:w="1074" w:type="pct"/>
          </w:tcPr>
          <w:p w14:paraId="66054873" w14:textId="77777777" w:rsidR="00C82220" w:rsidRPr="006A0FA9" w:rsidRDefault="00C82220" w:rsidP="00B535DB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 w:rsidRPr="006A0FA9">
              <w:rPr>
                <w:rFonts w:hint="eastAsia"/>
                <w:sz w:val="24"/>
                <w:szCs w:val="24"/>
              </w:rPr>
              <w:t xml:space="preserve">P value </w:t>
            </w:r>
          </w:p>
        </w:tc>
      </w:tr>
      <w:tr w:rsidR="00C82220" w:rsidRPr="006A0FA9" w14:paraId="1E637521" w14:textId="77777777" w:rsidTr="00164684">
        <w:tc>
          <w:tcPr>
            <w:tcW w:w="1963" w:type="pct"/>
          </w:tcPr>
          <w:p w14:paraId="27018B1A" w14:textId="77777777" w:rsidR="00C82220" w:rsidRPr="006A0FA9" w:rsidRDefault="00C82220" w:rsidP="00B535DB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 w:rsidRPr="006A0FA9">
              <w:rPr>
                <w:rFonts w:hint="eastAsia"/>
                <w:sz w:val="24"/>
                <w:szCs w:val="24"/>
              </w:rPr>
              <w:t xml:space="preserve">Virological </w:t>
            </w:r>
            <w:r w:rsidRPr="006A0FA9">
              <w:rPr>
                <w:sz w:val="24"/>
                <w:szCs w:val="24"/>
              </w:rPr>
              <w:t>suppression</w:t>
            </w:r>
          </w:p>
        </w:tc>
        <w:tc>
          <w:tcPr>
            <w:tcW w:w="1963" w:type="pct"/>
          </w:tcPr>
          <w:p w14:paraId="01423B97" w14:textId="77777777" w:rsidR="00C82220" w:rsidRPr="006A0FA9" w:rsidRDefault="00C82220" w:rsidP="00B535DB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6A0FA9">
              <w:rPr>
                <w:rFonts w:hint="eastAsia"/>
                <w:sz w:val="24"/>
                <w:szCs w:val="24"/>
              </w:rPr>
              <w:t>1.0 (reference)</w:t>
            </w:r>
          </w:p>
        </w:tc>
        <w:tc>
          <w:tcPr>
            <w:tcW w:w="1074" w:type="pct"/>
          </w:tcPr>
          <w:p w14:paraId="64F4CCD8" w14:textId="77777777" w:rsidR="00C82220" w:rsidRPr="006A0FA9" w:rsidRDefault="00C82220" w:rsidP="00B535DB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 w:rsidRPr="006A0FA9">
              <w:rPr>
                <w:rFonts w:hint="eastAsia"/>
                <w:sz w:val="24"/>
                <w:szCs w:val="24"/>
              </w:rPr>
              <w:t>-</w:t>
            </w:r>
          </w:p>
        </w:tc>
      </w:tr>
      <w:tr w:rsidR="00C82220" w:rsidRPr="006A0FA9" w14:paraId="4F8456D6" w14:textId="77777777" w:rsidTr="00164684">
        <w:tc>
          <w:tcPr>
            <w:tcW w:w="1963" w:type="pct"/>
          </w:tcPr>
          <w:p w14:paraId="68913F30" w14:textId="77777777" w:rsidR="00C82220" w:rsidRPr="006A0FA9" w:rsidRDefault="00C82220" w:rsidP="00B535DB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 w:rsidRPr="006A0FA9">
              <w:rPr>
                <w:rFonts w:hint="eastAsia"/>
                <w:sz w:val="24"/>
                <w:szCs w:val="24"/>
              </w:rPr>
              <w:t>Virological Blip</w:t>
            </w:r>
          </w:p>
        </w:tc>
        <w:tc>
          <w:tcPr>
            <w:tcW w:w="1963" w:type="pct"/>
          </w:tcPr>
          <w:p w14:paraId="27320A3A" w14:textId="77777777" w:rsidR="00C82220" w:rsidRPr="006A0FA9" w:rsidRDefault="00C82220" w:rsidP="00B535DB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6A0FA9">
              <w:rPr>
                <w:sz w:val="24"/>
                <w:szCs w:val="24"/>
              </w:rPr>
              <w:t>0.5</w:t>
            </w:r>
            <w:r w:rsidRPr="006A0FA9">
              <w:rPr>
                <w:rFonts w:hint="eastAsia"/>
                <w:sz w:val="24"/>
                <w:szCs w:val="24"/>
              </w:rPr>
              <w:t xml:space="preserve"> [0.4 </w:t>
            </w:r>
            <w:r w:rsidRPr="006A0FA9">
              <w:rPr>
                <w:sz w:val="24"/>
                <w:szCs w:val="24"/>
              </w:rPr>
              <w:t>–</w:t>
            </w:r>
            <w:r w:rsidRPr="006A0FA9">
              <w:rPr>
                <w:rFonts w:hint="eastAsia"/>
                <w:sz w:val="24"/>
                <w:szCs w:val="24"/>
              </w:rPr>
              <w:t xml:space="preserve"> 1.2]</w:t>
            </w:r>
          </w:p>
        </w:tc>
        <w:tc>
          <w:tcPr>
            <w:tcW w:w="1074" w:type="pct"/>
          </w:tcPr>
          <w:p w14:paraId="45BF1B3A" w14:textId="77777777" w:rsidR="00C82220" w:rsidRPr="006A0FA9" w:rsidRDefault="00C82220" w:rsidP="00B535DB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 w:rsidRPr="006A0FA9">
              <w:rPr>
                <w:rFonts w:hint="eastAsia"/>
                <w:sz w:val="24"/>
                <w:szCs w:val="24"/>
              </w:rPr>
              <w:t>0.151</w:t>
            </w:r>
          </w:p>
        </w:tc>
      </w:tr>
      <w:tr w:rsidR="00C82220" w:rsidRPr="006A0FA9" w14:paraId="456BF6DE" w14:textId="77777777" w:rsidTr="00164684">
        <w:tc>
          <w:tcPr>
            <w:tcW w:w="1963" w:type="pct"/>
          </w:tcPr>
          <w:p w14:paraId="2304369F" w14:textId="77777777" w:rsidR="00C82220" w:rsidRPr="006A0FA9" w:rsidRDefault="00C82220" w:rsidP="00B535DB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 w:rsidRPr="006A0FA9">
              <w:rPr>
                <w:rFonts w:hint="eastAsia"/>
                <w:sz w:val="24"/>
                <w:szCs w:val="24"/>
              </w:rPr>
              <w:t>LLV</w:t>
            </w:r>
          </w:p>
        </w:tc>
        <w:tc>
          <w:tcPr>
            <w:tcW w:w="1963" w:type="pct"/>
          </w:tcPr>
          <w:p w14:paraId="73B0344C" w14:textId="77777777" w:rsidR="00C82220" w:rsidRPr="006A0FA9" w:rsidRDefault="00C82220" w:rsidP="00B535DB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6A0FA9">
              <w:rPr>
                <w:rFonts w:hint="eastAsia"/>
                <w:sz w:val="24"/>
                <w:szCs w:val="24"/>
              </w:rPr>
              <w:t xml:space="preserve">0.9 [0.3 </w:t>
            </w:r>
            <w:r w:rsidRPr="006A0FA9">
              <w:rPr>
                <w:sz w:val="24"/>
                <w:szCs w:val="24"/>
              </w:rPr>
              <w:t>–</w:t>
            </w:r>
            <w:r w:rsidRPr="006A0FA9">
              <w:rPr>
                <w:rFonts w:hint="eastAsia"/>
                <w:sz w:val="24"/>
                <w:szCs w:val="24"/>
              </w:rPr>
              <w:t xml:space="preserve"> 1.9]</w:t>
            </w:r>
          </w:p>
        </w:tc>
        <w:tc>
          <w:tcPr>
            <w:tcW w:w="1074" w:type="pct"/>
          </w:tcPr>
          <w:p w14:paraId="49D32CD6" w14:textId="77777777" w:rsidR="00C82220" w:rsidRPr="006A0FA9" w:rsidRDefault="00C82220" w:rsidP="00B535DB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 w:rsidRPr="006A0FA9">
              <w:rPr>
                <w:rFonts w:hint="eastAsia"/>
                <w:sz w:val="24"/>
                <w:szCs w:val="24"/>
              </w:rPr>
              <w:t>0.474</w:t>
            </w:r>
          </w:p>
        </w:tc>
      </w:tr>
      <w:tr w:rsidR="00C82220" w:rsidRPr="006A0FA9" w14:paraId="34E4F19E" w14:textId="77777777" w:rsidTr="00164684">
        <w:tc>
          <w:tcPr>
            <w:tcW w:w="1963" w:type="pct"/>
          </w:tcPr>
          <w:p w14:paraId="59EA766B" w14:textId="77777777" w:rsidR="00C82220" w:rsidRPr="006A0FA9" w:rsidRDefault="00C82220" w:rsidP="00B535DB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 w:rsidRPr="006A0FA9">
              <w:rPr>
                <w:rFonts w:hint="eastAsia"/>
                <w:sz w:val="24"/>
                <w:szCs w:val="24"/>
              </w:rPr>
              <w:t xml:space="preserve">Age </w:t>
            </w:r>
          </w:p>
        </w:tc>
        <w:tc>
          <w:tcPr>
            <w:tcW w:w="1963" w:type="pct"/>
          </w:tcPr>
          <w:p w14:paraId="12CDC38F" w14:textId="77777777" w:rsidR="00C82220" w:rsidRPr="006A0FA9" w:rsidRDefault="00C82220" w:rsidP="00B535DB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6A0FA9">
              <w:rPr>
                <w:rFonts w:hint="eastAsia"/>
                <w:sz w:val="24"/>
                <w:szCs w:val="24"/>
              </w:rPr>
              <w:t xml:space="preserve">1.0 [1.0 </w:t>
            </w:r>
            <w:r w:rsidRPr="006A0FA9">
              <w:rPr>
                <w:sz w:val="24"/>
                <w:szCs w:val="24"/>
              </w:rPr>
              <w:t>–</w:t>
            </w:r>
            <w:r w:rsidRPr="006A0FA9">
              <w:rPr>
                <w:rFonts w:hint="eastAsia"/>
                <w:sz w:val="24"/>
                <w:szCs w:val="24"/>
              </w:rPr>
              <w:t xml:space="preserve"> 1.0]</w:t>
            </w:r>
          </w:p>
        </w:tc>
        <w:tc>
          <w:tcPr>
            <w:tcW w:w="1074" w:type="pct"/>
          </w:tcPr>
          <w:p w14:paraId="7AD412DF" w14:textId="77777777" w:rsidR="00C82220" w:rsidRPr="006A0FA9" w:rsidRDefault="00C82220" w:rsidP="00B535DB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 w:rsidRPr="006A0FA9">
              <w:rPr>
                <w:rFonts w:hint="eastAsia"/>
                <w:sz w:val="24"/>
                <w:szCs w:val="24"/>
              </w:rPr>
              <w:t>0.563</w:t>
            </w:r>
          </w:p>
        </w:tc>
      </w:tr>
      <w:tr w:rsidR="00C82220" w:rsidRPr="006A0FA9" w14:paraId="1D6D9018" w14:textId="77777777" w:rsidTr="00164684">
        <w:tc>
          <w:tcPr>
            <w:tcW w:w="1963" w:type="pct"/>
          </w:tcPr>
          <w:p w14:paraId="4E1616EF" w14:textId="77777777" w:rsidR="00C82220" w:rsidRPr="006A0FA9" w:rsidRDefault="00C82220" w:rsidP="00B535DB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 w:rsidRPr="006A0FA9">
              <w:rPr>
                <w:rFonts w:hint="eastAsia"/>
                <w:sz w:val="24"/>
                <w:szCs w:val="24"/>
              </w:rPr>
              <w:t>Male</w:t>
            </w:r>
          </w:p>
        </w:tc>
        <w:tc>
          <w:tcPr>
            <w:tcW w:w="1963" w:type="pct"/>
          </w:tcPr>
          <w:p w14:paraId="407AB52D" w14:textId="77777777" w:rsidR="00C82220" w:rsidRPr="006A0FA9" w:rsidRDefault="00C82220" w:rsidP="00B535DB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6A0FA9">
              <w:rPr>
                <w:rFonts w:hint="eastAsia"/>
                <w:sz w:val="24"/>
                <w:szCs w:val="24"/>
              </w:rPr>
              <w:t xml:space="preserve">0.9 [0.4 </w:t>
            </w:r>
            <w:r w:rsidRPr="006A0FA9">
              <w:rPr>
                <w:sz w:val="24"/>
                <w:szCs w:val="24"/>
              </w:rPr>
              <w:t>–</w:t>
            </w:r>
            <w:r w:rsidRPr="006A0FA9">
              <w:rPr>
                <w:rFonts w:hint="eastAsia"/>
                <w:sz w:val="24"/>
                <w:szCs w:val="24"/>
              </w:rPr>
              <w:t xml:space="preserve"> 2.2]</w:t>
            </w:r>
          </w:p>
        </w:tc>
        <w:tc>
          <w:tcPr>
            <w:tcW w:w="1074" w:type="pct"/>
          </w:tcPr>
          <w:p w14:paraId="3E855DD5" w14:textId="77777777" w:rsidR="00C82220" w:rsidRPr="006A0FA9" w:rsidRDefault="00C82220" w:rsidP="00B535DB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 w:rsidRPr="006A0FA9">
              <w:rPr>
                <w:rFonts w:hint="eastAsia"/>
                <w:sz w:val="24"/>
                <w:szCs w:val="24"/>
              </w:rPr>
              <w:t>0.827</w:t>
            </w:r>
          </w:p>
        </w:tc>
      </w:tr>
      <w:tr w:rsidR="00C82220" w:rsidRPr="006A0FA9" w14:paraId="03B2FAA5" w14:textId="77777777" w:rsidTr="00164684">
        <w:tc>
          <w:tcPr>
            <w:tcW w:w="1963" w:type="pct"/>
          </w:tcPr>
          <w:p w14:paraId="0F3DA8C9" w14:textId="77777777" w:rsidR="00C82220" w:rsidRPr="006A0FA9" w:rsidRDefault="00C82220" w:rsidP="00B535DB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 w:rsidRPr="006A0FA9">
              <w:rPr>
                <w:rFonts w:hint="eastAsia"/>
                <w:sz w:val="24"/>
                <w:szCs w:val="24"/>
              </w:rPr>
              <w:t xml:space="preserve">Baseline CD4+ T cell counts </w:t>
            </w:r>
          </w:p>
        </w:tc>
        <w:tc>
          <w:tcPr>
            <w:tcW w:w="1963" w:type="pct"/>
          </w:tcPr>
          <w:p w14:paraId="4B80E61C" w14:textId="77777777" w:rsidR="00C82220" w:rsidRPr="006A0FA9" w:rsidRDefault="00C82220" w:rsidP="00B535DB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6A0FA9">
              <w:rPr>
                <w:rFonts w:hint="eastAsia"/>
                <w:sz w:val="24"/>
                <w:szCs w:val="24"/>
              </w:rPr>
              <w:t xml:space="preserve">1.0 [1.0 </w:t>
            </w:r>
            <w:r w:rsidRPr="006A0FA9">
              <w:rPr>
                <w:sz w:val="24"/>
                <w:szCs w:val="24"/>
              </w:rPr>
              <w:t>–</w:t>
            </w:r>
            <w:r w:rsidRPr="006A0FA9">
              <w:rPr>
                <w:rFonts w:hint="eastAsia"/>
                <w:sz w:val="24"/>
                <w:szCs w:val="24"/>
              </w:rPr>
              <w:t xml:space="preserve"> 1.0]</w:t>
            </w:r>
          </w:p>
        </w:tc>
        <w:tc>
          <w:tcPr>
            <w:tcW w:w="1074" w:type="pct"/>
          </w:tcPr>
          <w:p w14:paraId="2B0897C4" w14:textId="77777777" w:rsidR="00C82220" w:rsidRPr="006A0FA9" w:rsidRDefault="00C82220" w:rsidP="00B535DB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 w:rsidRPr="006A0FA9">
              <w:rPr>
                <w:rFonts w:hint="eastAsia"/>
                <w:sz w:val="24"/>
                <w:szCs w:val="24"/>
              </w:rPr>
              <w:t>0.842</w:t>
            </w:r>
          </w:p>
        </w:tc>
      </w:tr>
      <w:tr w:rsidR="00C82220" w:rsidRPr="006A0FA9" w14:paraId="7A7AE696" w14:textId="77777777" w:rsidTr="00164684">
        <w:tc>
          <w:tcPr>
            <w:tcW w:w="1963" w:type="pct"/>
          </w:tcPr>
          <w:p w14:paraId="04464783" w14:textId="77777777" w:rsidR="00C82220" w:rsidRPr="006A0FA9" w:rsidRDefault="00C82220" w:rsidP="00B535DB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 w:rsidRPr="006A0FA9">
              <w:rPr>
                <w:rFonts w:hint="eastAsia"/>
                <w:sz w:val="24"/>
                <w:szCs w:val="24"/>
              </w:rPr>
              <w:t>Baseline viral load</w:t>
            </w:r>
          </w:p>
        </w:tc>
        <w:tc>
          <w:tcPr>
            <w:tcW w:w="1963" w:type="pct"/>
          </w:tcPr>
          <w:p w14:paraId="17322F94" w14:textId="77777777" w:rsidR="00C82220" w:rsidRPr="006A0FA9" w:rsidRDefault="00C82220" w:rsidP="00B535DB"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 w:rsidRPr="006A0FA9">
              <w:rPr>
                <w:rFonts w:hint="eastAsia"/>
                <w:sz w:val="24"/>
                <w:szCs w:val="24"/>
              </w:rPr>
              <w:t xml:space="preserve">0.9 [0.6 </w:t>
            </w:r>
            <w:r w:rsidRPr="006A0FA9">
              <w:rPr>
                <w:sz w:val="24"/>
                <w:szCs w:val="24"/>
              </w:rPr>
              <w:t>–</w:t>
            </w:r>
            <w:r w:rsidRPr="006A0FA9">
              <w:rPr>
                <w:rFonts w:hint="eastAsia"/>
                <w:sz w:val="24"/>
                <w:szCs w:val="24"/>
              </w:rPr>
              <w:t xml:space="preserve"> 1.5]</w:t>
            </w:r>
          </w:p>
        </w:tc>
        <w:tc>
          <w:tcPr>
            <w:tcW w:w="1074" w:type="pct"/>
          </w:tcPr>
          <w:p w14:paraId="7B580313" w14:textId="77777777" w:rsidR="00C82220" w:rsidRPr="006A0FA9" w:rsidRDefault="00C82220" w:rsidP="00B535DB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 w:rsidRPr="006A0FA9">
              <w:rPr>
                <w:rFonts w:hint="eastAsia"/>
                <w:sz w:val="24"/>
                <w:szCs w:val="24"/>
              </w:rPr>
              <w:t>0.808</w:t>
            </w:r>
          </w:p>
        </w:tc>
      </w:tr>
    </w:tbl>
    <w:p w14:paraId="57ECFDE7" w14:textId="40F6170D" w:rsidR="00C82220" w:rsidRPr="006A0FA9" w:rsidRDefault="004946E9" w:rsidP="00B535DB">
      <w:pPr>
        <w:widowControl/>
        <w:spacing w:line="360" w:lineRule="auto"/>
        <w:jc w:val="left"/>
        <w:rPr>
          <w:sz w:val="24"/>
          <w:szCs w:val="24"/>
        </w:rPr>
      </w:pPr>
      <w:r w:rsidRPr="006A0FA9">
        <w:rPr>
          <w:sz w:val="24"/>
          <w:szCs w:val="24"/>
        </w:rPr>
        <w:t>A total of 1,260 patients were included, and 37 virological failure events occurred</w:t>
      </w:r>
      <w:r w:rsidRPr="006A0FA9">
        <w:rPr>
          <w:rFonts w:hint="eastAsia"/>
          <w:sz w:val="24"/>
          <w:szCs w:val="24"/>
        </w:rPr>
        <w:t>.</w:t>
      </w:r>
    </w:p>
    <w:p w14:paraId="39D57909" w14:textId="77777777" w:rsidR="00C82220" w:rsidRPr="006A0FA9" w:rsidRDefault="00C82220" w:rsidP="00B535DB">
      <w:pPr>
        <w:spacing w:line="360" w:lineRule="auto"/>
        <w:rPr>
          <w:sz w:val="24"/>
          <w:szCs w:val="24"/>
        </w:rPr>
      </w:pPr>
    </w:p>
    <w:p w14:paraId="4D911A3F" w14:textId="77777777" w:rsidR="00A1358F" w:rsidRPr="006A0FA9" w:rsidRDefault="00A1358F" w:rsidP="00B535DB">
      <w:pPr>
        <w:widowControl/>
        <w:spacing w:after="160" w:line="360" w:lineRule="auto"/>
        <w:jc w:val="left"/>
        <w:rPr>
          <w:sz w:val="24"/>
          <w:szCs w:val="24"/>
        </w:rPr>
      </w:pPr>
      <w:r w:rsidRPr="006A0FA9">
        <w:rPr>
          <w:sz w:val="24"/>
          <w:szCs w:val="24"/>
        </w:rPr>
        <w:br w:type="page"/>
      </w:r>
    </w:p>
    <w:p w14:paraId="52A8C3C5" w14:textId="77777777" w:rsidR="00C82220" w:rsidRPr="006A0FA9" w:rsidRDefault="00A1358F" w:rsidP="00B535DB">
      <w:pPr>
        <w:spacing w:line="360" w:lineRule="auto"/>
        <w:rPr>
          <w:rFonts w:cs="Times New Roman"/>
          <w:b/>
          <w:bCs/>
          <w:sz w:val="24"/>
          <w:szCs w:val="24"/>
        </w:rPr>
      </w:pPr>
      <w:r w:rsidRPr="006A0FA9">
        <w:rPr>
          <w:b/>
          <w:bCs/>
          <w:sz w:val="24"/>
          <w:szCs w:val="24"/>
        </w:rPr>
        <w:lastRenderedPageBreak/>
        <w:t>Supplement</w:t>
      </w:r>
      <w:r w:rsidRPr="006A0FA9">
        <w:rPr>
          <w:rFonts w:hint="eastAsia"/>
          <w:b/>
          <w:bCs/>
          <w:sz w:val="24"/>
          <w:szCs w:val="24"/>
        </w:rPr>
        <w:t>ary</w:t>
      </w:r>
      <w:r w:rsidRPr="006A0FA9">
        <w:rPr>
          <w:b/>
          <w:bCs/>
          <w:sz w:val="24"/>
          <w:szCs w:val="24"/>
        </w:rPr>
        <w:t xml:space="preserve"> </w:t>
      </w:r>
      <w:r w:rsidRPr="006A0FA9">
        <w:rPr>
          <w:rFonts w:hint="eastAsia"/>
          <w:b/>
          <w:bCs/>
          <w:sz w:val="24"/>
          <w:szCs w:val="24"/>
        </w:rPr>
        <w:t>T</w:t>
      </w:r>
      <w:r w:rsidRPr="006A0FA9">
        <w:rPr>
          <w:b/>
          <w:bCs/>
          <w:sz w:val="24"/>
          <w:szCs w:val="24"/>
        </w:rPr>
        <w:t xml:space="preserve">able </w:t>
      </w:r>
      <w:r w:rsidRPr="006A0FA9">
        <w:rPr>
          <w:rFonts w:hint="eastAsia"/>
          <w:b/>
          <w:bCs/>
          <w:sz w:val="24"/>
          <w:szCs w:val="24"/>
        </w:rPr>
        <w:t>2</w:t>
      </w:r>
      <w:r w:rsidRPr="006A0FA9">
        <w:rPr>
          <w:b/>
          <w:bCs/>
          <w:sz w:val="24"/>
          <w:szCs w:val="24"/>
        </w:rPr>
        <w:t>.</w:t>
      </w:r>
      <w:r w:rsidRPr="006A0FA9">
        <w:rPr>
          <w:sz w:val="24"/>
          <w:szCs w:val="24"/>
        </w:rPr>
        <w:t xml:space="preserve"> </w:t>
      </w:r>
      <w:r w:rsidR="00E90CA9" w:rsidRPr="006A0FA9">
        <w:rPr>
          <w:rFonts w:cs="Times New Roman"/>
          <w:b/>
          <w:bCs/>
          <w:sz w:val="24"/>
          <w:szCs w:val="24"/>
        </w:rPr>
        <w:t>Baseline characteristics of LLV patients with (N=17) and without (N=149) successful drug resistance mutation sequencing.</w:t>
      </w:r>
    </w:p>
    <w:tbl>
      <w:tblPr>
        <w:tblW w:w="5000" w:type="pct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74"/>
        <w:gridCol w:w="4143"/>
        <w:gridCol w:w="1818"/>
        <w:gridCol w:w="1818"/>
        <w:gridCol w:w="973"/>
      </w:tblGrid>
      <w:tr w:rsidR="00102E51" w:rsidRPr="006A0FA9" w14:paraId="6423D667" w14:textId="77777777" w:rsidTr="00102E51">
        <w:trPr>
          <w:trHeight w:val="265"/>
        </w:trPr>
        <w:tc>
          <w:tcPr>
            <w:tcW w:w="2447" w:type="pct"/>
            <w:gridSpan w:val="2"/>
            <w:tcBorders>
              <w:top w:val="single" w:sz="8" w:space="0" w:color="818183"/>
              <w:left w:val="nil"/>
              <w:bottom w:val="single" w:sz="8" w:space="0" w:color="818183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2F6B3116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bookmarkStart w:id="0" w:name="OLE_LINK1"/>
            <w:r w:rsidRPr="006A0FA9">
              <w:rPr>
                <w:rFonts w:cs="Times New Roman"/>
                <w:b/>
                <w:bCs/>
                <w:sz w:val="24"/>
                <w:szCs w:val="24"/>
              </w:rPr>
              <w:t>Groups</w:t>
            </w:r>
          </w:p>
        </w:tc>
        <w:tc>
          <w:tcPr>
            <w:tcW w:w="1007" w:type="pct"/>
            <w:tcBorders>
              <w:top w:val="single" w:sz="8" w:space="0" w:color="818183"/>
              <w:left w:val="nil"/>
              <w:bottom w:val="single" w:sz="8" w:space="0" w:color="818183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3E46EEA3" w14:textId="77777777" w:rsidR="00102E51" w:rsidRPr="006A0FA9" w:rsidRDefault="00C47E64" w:rsidP="00B535DB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6A0FA9">
              <w:rPr>
                <w:rFonts w:cs="Times New Roman"/>
                <w:b/>
                <w:bCs/>
                <w:sz w:val="24"/>
                <w:szCs w:val="24"/>
              </w:rPr>
              <w:t>Not sequenced</w:t>
            </w:r>
          </w:p>
        </w:tc>
        <w:tc>
          <w:tcPr>
            <w:tcW w:w="1007" w:type="pct"/>
            <w:tcBorders>
              <w:top w:val="single" w:sz="8" w:space="0" w:color="818183"/>
              <w:left w:val="nil"/>
              <w:bottom w:val="single" w:sz="8" w:space="0" w:color="818183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423DAE4B" w14:textId="77777777" w:rsidR="00102E51" w:rsidRPr="006A0FA9" w:rsidRDefault="00C47E64" w:rsidP="00B535DB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6A0FA9">
              <w:rPr>
                <w:rFonts w:cs="Times New Roman" w:hint="eastAsia"/>
                <w:b/>
                <w:bCs/>
                <w:sz w:val="24"/>
                <w:szCs w:val="24"/>
              </w:rPr>
              <w:t>Sequenced</w:t>
            </w:r>
          </w:p>
        </w:tc>
        <w:tc>
          <w:tcPr>
            <w:tcW w:w="539" w:type="pct"/>
            <w:tcBorders>
              <w:top w:val="single" w:sz="8" w:space="0" w:color="818183"/>
              <w:left w:val="nil"/>
              <w:bottom w:val="single" w:sz="8" w:space="0" w:color="818183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53544D3C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102E51" w:rsidRPr="006A0FA9" w14:paraId="584ACF93" w14:textId="77777777" w:rsidTr="00102E51">
        <w:trPr>
          <w:trHeight w:val="265"/>
        </w:trPr>
        <w:tc>
          <w:tcPr>
            <w:tcW w:w="2447" w:type="pct"/>
            <w:gridSpan w:val="2"/>
            <w:tcBorders>
              <w:top w:val="single" w:sz="8" w:space="0" w:color="818183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4DE524EE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N</w:t>
            </w:r>
          </w:p>
        </w:tc>
        <w:tc>
          <w:tcPr>
            <w:tcW w:w="1007" w:type="pct"/>
            <w:tcBorders>
              <w:top w:val="single" w:sz="8" w:space="0" w:color="818183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6AC68D6F" w14:textId="77777777" w:rsidR="00102E51" w:rsidRPr="006A0FA9" w:rsidRDefault="00102E51" w:rsidP="00B535DB">
            <w:pPr>
              <w:widowControl/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149</w:t>
            </w:r>
          </w:p>
        </w:tc>
        <w:tc>
          <w:tcPr>
            <w:tcW w:w="1007" w:type="pct"/>
            <w:tcBorders>
              <w:top w:val="single" w:sz="8" w:space="0" w:color="818183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5E2CC665" w14:textId="77777777" w:rsidR="00102E51" w:rsidRPr="006A0FA9" w:rsidRDefault="00102E51" w:rsidP="00B535DB">
            <w:pPr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17</w:t>
            </w:r>
          </w:p>
        </w:tc>
        <w:tc>
          <w:tcPr>
            <w:tcW w:w="539" w:type="pct"/>
            <w:tcBorders>
              <w:top w:val="single" w:sz="8" w:space="0" w:color="818183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76C40042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2E51" w:rsidRPr="006A0FA9" w14:paraId="19AD1C52" w14:textId="77777777" w:rsidTr="00102E51">
        <w:trPr>
          <w:trHeight w:val="265"/>
        </w:trPr>
        <w:tc>
          <w:tcPr>
            <w:tcW w:w="2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490A0DF2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Gender (%)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21C5EB10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40D778BD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253FBFC8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02E51" w:rsidRPr="006A0FA9" w14:paraId="5CF33DE6" w14:textId="77777777" w:rsidTr="00102E51">
        <w:trPr>
          <w:trHeight w:val="26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21244644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07A85554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Female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5FDE3AF3" w14:textId="77777777" w:rsidR="00102E51" w:rsidRPr="006A0FA9" w:rsidRDefault="00102E51" w:rsidP="00B535DB">
            <w:pPr>
              <w:widowControl/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20 (13.4)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6B886866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4 (23.5)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6B19EF03" w14:textId="77777777" w:rsidR="00102E51" w:rsidRPr="006A0FA9" w:rsidRDefault="00102E51" w:rsidP="00B535DB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0.448</w:t>
            </w:r>
          </w:p>
        </w:tc>
      </w:tr>
      <w:tr w:rsidR="00102E51" w:rsidRPr="006A0FA9" w14:paraId="2793A7A9" w14:textId="77777777" w:rsidTr="00102E51">
        <w:trPr>
          <w:trHeight w:val="26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7A9A8B79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15E5A8E1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Male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268C8666" w14:textId="77777777" w:rsidR="00102E51" w:rsidRPr="006A0FA9" w:rsidRDefault="00102E51" w:rsidP="00B535DB">
            <w:pPr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129 (86.6)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780CB58B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13 (76.5)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1A9D8212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2E51" w:rsidRPr="006A0FA9" w14:paraId="0A00B12B" w14:textId="77777777" w:rsidTr="00102E51">
        <w:trPr>
          <w:trHeight w:val="265"/>
        </w:trPr>
        <w:tc>
          <w:tcPr>
            <w:tcW w:w="2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6693BDEF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Age (years, median [IQR])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4CEA54DD" w14:textId="77777777" w:rsidR="00102E51" w:rsidRPr="006A0FA9" w:rsidRDefault="00102E51" w:rsidP="00B535DB">
            <w:pPr>
              <w:widowControl/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33 [27, 45]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54C6705C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41 [31, 47]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5BD15D9A" w14:textId="77777777" w:rsidR="00102E51" w:rsidRPr="006A0FA9" w:rsidRDefault="00102E51" w:rsidP="00B535DB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0.209</w:t>
            </w:r>
          </w:p>
        </w:tc>
      </w:tr>
      <w:tr w:rsidR="00102E51" w:rsidRPr="006A0FA9" w14:paraId="35E92F1B" w14:textId="77777777" w:rsidTr="00102E51">
        <w:trPr>
          <w:trHeight w:val="265"/>
        </w:trPr>
        <w:tc>
          <w:tcPr>
            <w:tcW w:w="2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57997864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Calendar year of initiation ART (%)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35AC6FE4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334D5652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38F54F1F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02E51" w:rsidRPr="006A0FA9" w14:paraId="6C92069B" w14:textId="77777777" w:rsidTr="00102E51">
        <w:trPr>
          <w:trHeight w:val="26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4DC0E64A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7C4F89A8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After 2012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1260FE00" w14:textId="77777777" w:rsidR="00102E51" w:rsidRPr="006A0FA9" w:rsidRDefault="00102E51" w:rsidP="00B535DB">
            <w:pPr>
              <w:widowControl/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108 (72.5)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2DFD052A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11 (64.7)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5EBBFAD1" w14:textId="77777777" w:rsidR="00102E51" w:rsidRPr="006A0FA9" w:rsidRDefault="00102E51" w:rsidP="00B535DB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0.696</w:t>
            </w:r>
          </w:p>
        </w:tc>
      </w:tr>
      <w:tr w:rsidR="00102E51" w:rsidRPr="006A0FA9" w14:paraId="26A8A29D" w14:textId="77777777" w:rsidTr="00102E51">
        <w:trPr>
          <w:trHeight w:val="26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39144A9E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5A7F4EDD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Before 2012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6101485A" w14:textId="77777777" w:rsidR="00102E51" w:rsidRPr="006A0FA9" w:rsidRDefault="00102E51" w:rsidP="00B535DB">
            <w:pPr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41 (27.5)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09419D42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6 (35.3)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353AAA6B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2E51" w:rsidRPr="006A0FA9" w14:paraId="3EF6C81E" w14:textId="77777777" w:rsidTr="00102E51">
        <w:trPr>
          <w:trHeight w:val="265"/>
        </w:trPr>
        <w:tc>
          <w:tcPr>
            <w:tcW w:w="2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2E732F69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Calendar year of infection (%)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13EEA8D6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45CFDD7A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527072F3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02E51" w:rsidRPr="006A0FA9" w14:paraId="7218DEC5" w14:textId="77777777" w:rsidTr="00102E51">
        <w:trPr>
          <w:trHeight w:val="26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1C67F9B2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5BE2F07D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After 2012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2C30C88C" w14:textId="77777777" w:rsidR="00102E51" w:rsidRPr="006A0FA9" w:rsidRDefault="00102E51" w:rsidP="00B535DB">
            <w:pPr>
              <w:widowControl/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85 (57.0)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668A743B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8 (47.1)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6899DF50" w14:textId="77777777" w:rsidR="00102E51" w:rsidRPr="006A0FA9" w:rsidRDefault="00102E51" w:rsidP="00B535DB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0.597</w:t>
            </w:r>
          </w:p>
        </w:tc>
      </w:tr>
      <w:tr w:rsidR="00102E51" w:rsidRPr="006A0FA9" w14:paraId="1134A137" w14:textId="77777777" w:rsidTr="00102E51">
        <w:trPr>
          <w:trHeight w:val="26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3F271C2F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5A711136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Before 2012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3EAE322A" w14:textId="77777777" w:rsidR="00102E51" w:rsidRPr="006A0FA9" w:rsidRDefault="00102E51" w:rsidP="00B535DB">
            <w:pPr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64 (43.0)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3BC73E2A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9 (52.9)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65A8A0FB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2E51" w:rsidRPr="006A0FA9" w14:paraId="0C5BB8D7" w14:textId="77777777" w:rsidTr="00102E51">
        <w:trPr>
          <w:trHeight w:val="265"/>
        </w:trPr>
        <w:tc>
          <w:tcPr>
            <w:tcW w:w="2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2B198144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Route of HIV transmission (%)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0C80CFB8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44AD7A4B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4E396EC7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02E51" w:rsidRPr="006A0FA9" w14:paraId="55BAEC71" w14:textId="77777777" w:rsidTr="00102E51">
        <w:trPr>
          <w:trHeight w:val="26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35CEBCD7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572F4870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Heterosexual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4BFAE3B4" w14:textId="77777777" w:rsidR="00102E51" w:rsidRPr="006A0FA9" w:rsidRDefault="00102E51" w:rsidP="00B535DB">
            <w:pPr>
              <w:widowControl/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51 (34.2)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72FE4342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6 (35.3)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1F673723" w14:textId="77777777" w:rsidR="00102E51" w:rsidRPr="006A0FA9" w:rsidRDefault="00102E51" w:rsidP="00B535DB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0.002</w:t>
            </w:r>
          </w:p>
        </w:tc>
      </w:tr>
      <w:tr w:rsidR="00102E51" w:rsidRPr="006A0FA9" w14:paraId="66BDD0B0" w14:textId="77777777" w:rsidTr="00102E51">
        <w:trPr>
          <w:trHeight w:val="26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7F0D83C3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4484D271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Homosexual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368A039B" w14:textId="77777777" w:rsidR="00102E51" w:rsidRPr="006A0FA9" w:rsidRDefault="00102E51" w:rsidP="00B535DB">
            <w:pPr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78 (52.3)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67B920E1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3 (17.6)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442F5432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2E51" w:rsidRPr="006A0FA9" w14:paraId="7665FD04" w14:textId="77777777" w:rsidTr="00102E51">
        <w:trPr>
          <w:trHeight w:val="26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1AFBD791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4A89912B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Blood product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1A930101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3 (2.0)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149A49CD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2 (11.8)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7E0DE70E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2E51" w:rsidRPr="006A0FA9" w14:paraId="22D7D553" w14:textId="77777777" w:rsidTr="00102E51">
        <w:trPr>
          <w:trHeight w:val="26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41A88940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79A62D65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Other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77287107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17 (11.4)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658504C3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6 (35.3)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3B14AA58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2E51" w:rsidRPr="006A0FA9" w14:paraId="193CD8E9" w14:textId="77777777" w:rsidTr="00102E51">
        <w:trPr>
          <w:trHeight w:val="265"/>
        </w:trPr>
        <w:tc>
          <w:tcPr>
            <w:tcW w:w="2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4D1FA572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Baseline CD4+ T count (cells/ul, median [IQR])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521AED84" w14:textId="77777777" w:rsidR="00102E51" w:rsidRPr="006A0FA9" w:rsidRDefault="00102E51" w:rsidP="00B535DB">
            <w:pPr>
              <w:widowControl/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221 [130, 309]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6E16B864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214 [122, 240]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78ACD38E" w14:textId="77777777" w:rsidR="00102E51" w:rsidRPr="006A0FA9" w:rsidRDefault="00102E51" w:rsidP="00B535DB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0.485</w:t>
            </w:r>
          </w:p>
        </w:tc>
      </w:tr>
      <w:tr w:rsidR="00102E51" w:rsidRPr="006A0FA9" w14:paraId="036CC493" w14:textId="77777777" w:rsidTr="00102E51">
        <w:trPr>
          <w:trHeight w:val="265"/>
        </w:trPr>
        <w:tc>
          <w:tcPr>
            <w:tcW w:w="2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4E5A32E4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Baseline CD4/CD8 ratio (median, [IQR])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755F4345" w14:textId="77777777" w:rsidR="00102E51" w:rsidRPr="006A0FA9" w:rsidRDefault="00102E51" w:rsidP="00B535DB">
            <w:pPr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0.22 [0.13, 0.32]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62A4A43A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0.21 [0.09, 0.36]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613D3024" w14:textId="77777777" w:rsidR="00102E51" w:rsidRPr="006A0FA9" w:rsidRDefault="00102E51" w:rsidP="00B535DB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0.784</w:t>
            </w:r>
          </w:p>
        </w:tc>
      </w:tr>
      <w:tr w:rsidR="00102E51" w:rsidRPr="006A0FA9" w14:paraId="0026D44F" w14:textId="77777777" w:rsidTr="00102E51">
        <w:trPr>
          <w:trHeight w:val="265"/>
        </w:trPr>
        <w:tc>
          <w:tcPr>
            <w:tcW w:w="2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7EBDF9AA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Baseline viral load (log10 copies/ml, median [IQR])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591FECC9" w14:textId="77777777" w:rsidR="00102E51" w:rsidRPr="006A0FA9" w:rsidRDefault="00102E51" w:rsidP="00B535DB">
            <w:pPr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4.92 [4.50, 5.39]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38CBC8F1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4.98 [4.56, 5.31]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7CE88AEE" w14:textId="77777777" w:rsidR="00102E51" w:rsidRPr="006A0FA9" w:rsidRDefault="00102E51" w:rsidP="00B535DB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0.768</w:t>
            </w:r>
          </w:p>
        </w:tc>
      </w:tr>
      <w:tr w:rsidR="00102E51" w:rsidRPr="006A0FA9" w14:paraId="594F3138" w14:textId="77777777" w:rsidTr="00102E51">
        <w:trPr>
          <w:trHeight w:val="265"/>
        </w:trPr>
        <w:tc>
          <w:tcPr>
            <w:tcW w:w="2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6CAB9A50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RPR (%)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0E4BD113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0DA077E2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6023D27F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02E51" w:rsidRPr="006A0FA9" w14:paraId="70D7FE78" w14:textId="77777777" w:rsidTr="00102E51">
        <w:trPr>
          <w:trHeight w:val="26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4E201E70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413C9A82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Negative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4D0055AD" w14:textId="77777777" w:rsidR="00102E51" w:rsidRPr="006A0FA9" w:rsidRDefault="00102E51" w:rsidP="00B535DB">
            <w:pPr>
              <w:widowControl/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82 (55.0)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20E3AFA2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11 (64.7)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59D58EE6" w14:textId="77777777" w:rsidR="00102E51" w:rsidRPr="006A0FA9" w:rsidRDefault="00102E51" w:rsidP="00B535DB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0.595</w:t>
            </w:r>
          </w:p>
        </w:tc>
      </w:tr>
      <w:tr w:rsidR="00102E51" w:rsidRPr="006A0FA9" w14:paraId="729C8F6B" w14:textId="77777777" w:rsidTr="00102E51">
        <w:trPr>
          <w:trHeight w:val="26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294A3788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1F4132A7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Positive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2340E6C5" w14:textId="77777777" w:rsidR="00102E51" w:rsidRPr="006A0FA9" w:rsidRDefault="00102E51" w:rsidP="00B535DB">
            <w:pPr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34 (22.8)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0BE1CC97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4 (23.5)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70727918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2E51" w:rsidRPr="006A0FA9" w14:paraId="4BFB11EF" w14:textId="77777777" w:rsidTr="00102E51">
        <w:trPr>
          <w:trHeight w:val="26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7B36E5E4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041E5CEF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Untested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1BDFEF1B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33 (22.1)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78E48DB6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2 (11.8)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731D7414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2E51" w:rsidRPr="006A0FA9" w14:paraId="0F9F9A5D" w14:textId="77777777" w:rsidTr="00102E51">
        <w:trPr>
          <w:trHeight w:val="265"/>
        </w:trPr>
        <w:tc>
          <w:tcPr>
            <w:tcW w:w="2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79EBE299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lastRenderedPageBreak/>
              <w:t>HBs-Ag (%)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6961138C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4C37C763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12E8FF87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02E51" w:rsidRPr="006A0FA9" w14:paraId="2D9FF068" w14:textId="77777777" w:rsidTr="00102E51">
        <w:trPr>
          <w:trHeight w:val="26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78F19DBA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683CCE65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Negative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7FC6F332" w14:textId="77777777" w:rsidR="00102E51" w:rsidRPr="006A0FA9" w:rsidRDefault="00102E51" w:rsidP="00B535DB">
            <w:pPr>
              <w:widowControl/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132 (88.6)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0E6CC4B2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15 (88.2)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7DC29A21" w14:textId="77777777" w:rsidR="00102E51" w:rsidRPr="006A0FA9" w:rsidRDefault="00102E51" w:rsidP="00B535DB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0.835</w:t>
            </w:r>
          </w:p>
        </w:tc>
      </w:tr>
      <w:tr w:rsidR="00102E51" w:rsidRPr="006A0FA9" w14:paraId="18EE602B" w14:textId="77777777" w:rsidTr="00102E51">
        <w:trPr>
          <w:trHeight w:val="26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6BD6888A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20411045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Positive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7B19DD89" w14:textId="77777777" w:rsidR="00102E51" w:rsidRPr="006A0FA9" w:rsidRDefault="00102E51" w:rsidP="00B535DB">
            <w:pPr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12 (8.1)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2A54D2FF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1 (5.9)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132F4ECA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2E51" w:rsidRPr="006A0FA9" w14:paraId="0177494E" w14:textId="77777777" w:rsidTr="00102E51">
        <w:trPr>
          <w:trHeight w:val="26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0BEC21B9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7CD67059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Untested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49A104BC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5 (3.4)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413F8A9F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1 (5.9)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3DB5C5EF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2E51" w:rsidRPr="006A0FA9" w14:paraId="60E3E3A1" w14:textId="77777777" w:rsidTr="00102E51">
        <w:trPr>
          <w:trHeight w:val="265"/>
        </w:trPr>
        <w:tc>
          <w:tcPr>
            <w:tcW w:w="2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5843E2E4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HCV-Ab (%)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3F642F74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017D464B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3DFE53DC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02E51" w:rsidRPr="006A0FA9" w14:paraId="2DC6146B" w14:textId="77777777" w:rsidTr="00102E51">
        <w:trPr>
          <w:trHeight w:val="26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21A09273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281EFC07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Negative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47B75F80" w14:textId="77777777" w:rsidR="00102E51" w:rsidRPr="006A0FA9" w:rsidRDefault="00102E51" w:rsidP="00B535DB">
            <w:pPr>
              <w:widowControl/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138 (92.6)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60D78BDD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15 (88.2)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481D795F" w14:textId="77777777" w:rsidR="00102E51" w:rsidRPr="006A0FA9" w:rsidRDefault="00102E51" w:rsidP="00B535DB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0.808</w:t>
            </w:r>
          </w:p>
        </w:tc>
      </w:tr>
      <w:tr w:rsidR="00102E51" w:rsidRPr="006A0FA9" w14:paraId="57F416B9" w14:textId="77777777" w:rsidTr="00102E51">
        <w:trPr>
          <w:trHeight w:val="26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230A1DB9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5622F54F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Positive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1629ACE5" w14:textId="77777777" w:rsidR="00102E51" w:rsidRPr="006A0FA9" w:rsidRDefault="00102E51" w:rsidP="00B535DB">
            <w:pPr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6 (4.0)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57DA94D2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1 (5.9)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778C2F00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2E51" w:rsidRPr="006A0FA9" w14:paraId="25E2F566" w14:textId="77777777" w:rsidTr="00102E51">
        <w:trPr>
          <w:trHeight w:val="26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4A189DA2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2D64354E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Untested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785DC8ED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5 (3.4)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40F212E6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1 (5.9)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21CBE37D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2E51" w:rsidRPr="006A0FA9" w14:paraId="7F3795C9" w14:textId="77777777" w:rsidTr="00102E51">
        <w:trPr>
          <w:trHeight w:val="265"/>
        </w:trPr>
        <w:tc>
          <w:tcPr>
            <w:tcW w:w="2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0EED0C5F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Baseline ART regimens (%)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37004279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2002EB02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2AFE7768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02E51" w:rsidRPr="006A0FA9" w14:paraId="5F830A9D" w14:textId="77777777" w:rsidTr="00102E51">
        <w:trPr>
          <w:trHeight w:val="26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127A4B64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78AAE91B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2NRTI+1NNRTI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4FBDB056" w14:textId="77777777" w:rsidR="00102E51" w:rsidRPr="006A0FA9" w:rsidRDefault="00102E51" w:rsidP="00B535DB">
            <w:pPr>
              <w:widowControl/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108 (82.4)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3B22B313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14 (100.0)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3D3CC5F5" w14:textId="77777777" w:rsidR="00102E51" w:rsidRPr="006A0FA9" w:rsidRDefault="00102E51" w:rsidP="00B535DB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0.404</w:t>
            </w:r>
          </w:p>
        </w:tc>
      </w:tr>
      <w:tr w:rsidR="00102E51" w:rsidRPr="006A0FA9" w14:paraId="35382675" w14:textId="77777777" w:rsidTr="00102E51">
        <w:trPr>
          <w:trHeight w:val="26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413B153B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12AA5D5D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2NRTI+1PI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2CCC85F6" w14:textId="77777777" w:rsidR="00102E51" w:rsidRPr="006A0FA9" w:rsidRDefault="00102E51" w:rsidP="00B535DB">
            <w:pPr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8 (6.1)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3D3C0BA7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0 (0.0)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4397E4FA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2E51" w:rsidRPr="006A0FA9" w14:paraId="3DD6F075" w14:textId="77777777" w:rsidTr="00102E51">
        <w:trPr>
          <w:trHeight w:val="265"/>
        </w:trPr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462835F6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0FAB07F2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2NRTI+1INSTI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2F5C7FC5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11 (8.4)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0A9E6C88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0 (0.0)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7AB64737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2E51" w:rsidRPr="006A0FA9" w14:paraId="46606D83" w14:textId="77777777" w:rsidTr="00102E51">
        <w:trPr>
          <w:trHeight w:val="265"/>
        </w:trPr>
        <w:tc>
          <w:tcPr>
            <w:tcW w:w="152" w:type="pct"/>
            <w:tcBorders>
              <w:top w:val="nil"/>
              <w:left w:val="nil"/>
              <w:bottom w:val="single" w:sz="8" w:space="0" w:color="818183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79D38C7F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single" w:sz="8" w:space="0" w:color="818183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43C1D5BA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/>
                <w:sz w:val="24"/>
                <w:szCs w:val="24"/>
              </w:rPr>
              <w:t>Other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818183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7E31287E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4 (3.1)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818183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3EEB6781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A0FA9">
              <w:rPr>
                <w:rFonts w:cs="Times New Roman" w:hint="eastAsia"/>
                <w:sz w:val="24"/>
                <w:szCs w:val="24"/>
              </w:rPr>
              <w:t>0 (0.0)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818183"/>
              <w:right w:val="nil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14:paraId="67EE91E8" w14:textId="77777777" w:rsidR="00102E51" w:rsidRPr="006A0FA9" w:rsidRDefault="00102E51" w:rsidP="00B535D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</w:tbl>
    <w:bookmarkEnd w:id="0"/>
    <w:p w14:paraId="7C561A92" w14:textId="77777777" w:rsidR="00C82220" w:rsidRPr="006A0FA9" w:rsidRDefault="00C82220" w:rsidP="00B535DB">
      <w:pPr>
        <w:spacing w:line="360" w:lineRule="auto"/>
        <w:rPr>
          <w:rFonts w:cs="Times New Roman"/>
          <w:sz w:val="24"/>
          <w:szCs w:val="24"/>
        </w:rPr>
      </w:pPr>
      <w:r w:rsidRPr="006A0FA9">
        <w:rPr>
          <w:rFonts w:cs="Times New Roman"/>
          <w:b/>
          <w:bCs/>
          <w:sz w:val="24"/>
          <w:szCs w:val="24"/>
        </w:rPr>
        <w:t>Abbreviation</w:t>
      </w:r>
      <w:r w:rsidRPr="006A0FA9">
        <w:rPr>
          <w:rFonts w:cs="Times New Roman" w:hint="eastAsia"/>
          <w:b/>
          <w:bCs/>
          <w:sz w:val="24"/>
          <w:szCs w:val="24"/>
        </w:rPr>
        <w:t>:</w:t>
      </w:r>
      <w:r w:rsidRPr="006A0FA9">
        <w:rPr>
          <w:rFonts w:cs="Times New Roman"/>
          <w:sz w:val="24"/>
          <w:szCs w:val="24"/>
        </w:rPr>
        <w:t xml:space="preserve"> VS, virological suppression; </w:t>
      </w:r>
      <w:r w:rsidRPr="006A0FA9">
        <w:rPr>
          <w:rFonts w:cs="Times New Roman" w:hint="eastAsia"/>
          <w:sz w:val="24"/>
          <w:szCs w:val="24"/>
        </w:rPr>
        <w:t xml:space="preserve">VB, virological blip; </w:t>
      </w:r>
      <w:r w:rsidRPr="006A0FA9">
        <w:rPr>
          <w:rFonts w:cs="Times New Roman"/>
          <w:sz w:val="24"/>
          <w:szCs w:val="24"/>
        </w:rPr>
        <w:t>LLV, low-level viremia</w:t>
      </w:r>
      <w:r w:rsidRPr="006A0FA9">
        <w:rPr>
          <w:rFonts w:cs="Times New Roman" w:hint="eastAsia"/>
          <w:sz w:val="24"/>
          <w:szCs w:val="24"/>
        </w:rPr>
        <w:t>;</w:t>
      </w:r>
      <w:r w:rsidRPr="006A0FA9">
        <w:rPr>
          <w:rFonts w:cs="Times New Roman"/>
          <w:sz w:val="24"/>
          <w:szCs w:val="24"/>
        </w:rPr>
        <w:t xml:space="preserve"> NRTI, nucleoside reverse transcriptase inhibitor; NNRTI, non-NRTI; PI, protease inhibitor; INSTI, integrase inhibitor</w:t>
      </w:r>
      <w:r w:rsidRPr="006A0FA9">
        <w:rPr>
          <w:rFonts w:cs="Times New Roman" w:hint="eastAsia"/>
          <w:sz w:val="24"/>
          <w:szCs w:val="24"/>
        </w:rPr>
        <w:t>.</w:t>
      </w:r>
    </w:p>
    <w:p w14:paraId="0E464708" w14:textId="77777777" w:rsidR="00C82220" w:rsidRPr="006A0FA9" w:rsidRDefault="00C82220" w:rsidP="00B535DB">
      <w:pPr>
        <w:spacing w:line="360" w:lineRule="auto"/>
        <w:rPr>
          <w:sz w:val="24"/>
          <w:szCs w:val="24"/>
        </w:rPr>
      </w:pPr>
    </w:p>
    <w:sectPr w:rsidR="00C82220" w:rsidRPr="006A0FA9" w:rsidSect="00C82220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A404B" w14:textId="77777777" w:rsidR="002B3F96" w:rsidRDefault="002B3F96" w:rsidP="001C5CBA">
      <w:r>
        <w:separator/>
      </w:r>
    </w:p>
  </w:endnote>
  <w:endnote w:type="continuationSeparator" w:id="0">
    <w:p w14:paraId="6FF59EDF" w14:textId="77777777" w:rsidR="002B3F96" w:rsidRDefault="002B3F96" w:rsidP="001C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8B5F" w14:textId="29DF565E" w:rsidR="001C5CBA" w:rsidRDefault="001C5CB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011E06" wp14:editId="4170A89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90313240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BEE3A" w14:textId="735EDD8A" w:rsidR="001C5CBA" w:rsidRPr="001C5CBA" w:rsidRDefault="001C5CBA" w:rsidP="001C5CB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C5CB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11E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F2BEE3A" w14:textId="735EDD8A" w:rsidR="001C5CBA" w:rsidRPr="001C5CBA" w:rsidRDefault="001C5CBA" w:rsidP="001C5CB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C5CB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1E283" w14:textId="45B36D6E" w:rsidR="001C5CBA" w:rsidRDefault="001C5CB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79FDB7" wp14:editId="4795DB82">
              <wp:simplePos x="9144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2646279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865F4" w14:textId="711C297D" w:rsidR="001C5CBA" w:rsidRPr="001C5CBA" w:rsidRDefault="001C5CBA" w:rsidP="001C5CB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C5CB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9FD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56865F4" w14:textId="711C297D" w:rsidR="001C5CBA" w:rsidRPr="001C5CBA" w:rsidRDefault="001C5CBA" w:rsidP="001C5CB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C5CB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D778" w14:textId="20A9E447" w:rsidR="001C5CBA" w:rsidRDefault="001C5CB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A74B57" wp14:editId="0D1757C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80791193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412BB" w14:textId="333F76F6" w:rsidR="001C5CBA" w:rsidRPr="001C5CBA" w:rsidRDefault="001C5CBA" w:rsidP="001C5CB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C5CB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74B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CB412BB" w14:textId="333F76F6" w:rsidR="001C5CBA" w:rsidRPr="001C5CBA" w:rsidRDefault="001C5CBA" w:rsidP="001C5CB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C5CB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ED2FD" w14:textId="77777777" w:rsidR="002B3F96" w:rsidRDefault="002B3F96" w:rsidP="001C5CBA">
      <w:r>
        <w:separator/>
      </w:r>
    </w:p>
  </w:footnote>
  <w:footnote w:type="continuationSeparator" w:id="0">
    <w:p w14:paraId="7B800F12" w14:textId="77777777" w:rsidR="002B3F96" w:rsidRDefault="002B3F96" w:rsidP="001C5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20"/>
    <w:rsid w:val="00026CF8"/>
    <w:rsid w:val="0004750B"/>
    <w:rsid w:val="00071DB5"/>
    <w:rsid w:val="00077855"/>
    <w:rsid w:val="00080C1B"/>
    <w:rsid w:val="000D2169"/>
    <w:rsid w:val="00102E51"/>
    <w:rsid w:val="00105623"/>
    <w:rsid w:val="00126A23"/>
    <w:rsid w:val="0015215A"/>
    <w:rsid w:val="001628B5"/>
    <w:rsid w:val="0017069B"/>
    <w:rsid w:val="00183206"/>
    <w:rsid w:val="00190592"/>
    <w:rsid w:val="001C17BF"/>
    <w:rsid w:val="001C3930"/>
    <w:rsid w:val="001C5CBA"/>
    <w:rsid w:val="00204E7D"/>
    <w:rsid w:val="0023280B"/>
    <w:rsid w:val="00233763"/>
    <w:rsid w:val="00256DAF"/>
    <w:rsid w:val="002978B9"/>
    <w:rsid w:val="00297FAB"/>
    <w:rsid w:val="002B25EB"/>
    <w:rsid w:val="002B3F96"/>
    <w:rsid w:val="002B7608"/>
    <w:rsid w:val="002C52ED"/>
    <w:rsid w:val="00334DE2"/>
    <w:rsid w:val="00354E9D"/>
    <w:rsid w:val="00375DBB"/>
    <w:rsid w:val="00382B6F"/>
    <w:rsid w:val="003C5452"/>
    <w:rsid w:val="003D7919"/>
    <w:rsid w:val="00475375"/>
    <w:rsid w:val="004946E9"/>
    <w:rsid w:val="004B2DA2"/>
    <w:rsid w:val="004B634D"/>
    <w:rsid w:val="004C6024"/>
    <w:rsid w:val="004E6148"/>
    <w:rsid w:val="004F7636"/>
    <w:rsid w:val="00500C2A"/>
    <w:rsid w:val="00507880"/>
    <w:rsid w:val="0051396E"/>
    <w:rsid w:val="00513C0C"/>
    <w:rsid w:val="00521182"/>
    <w:rsid w:val="00530285"/>
    <w:rsid w:val="00532585"/>
    <w:rsid w:val="0054404E"/>
    <w:rsid w:val="00561AA8"/>
    <w:rsid w:val="005A166C"/>
    <w:rsid w:val="005A4B64"/>
    <w:rsid w:val="005A78A8"/>
    <w:rsid w:val="005B36FF"/>
    <w:rsid w:val="005B5D2A"/>
    <w:rsid w:val="005E40D0"/>
    <w:rsid w:val="00625786"/>
    <w:rsid w:val="00633C05"/>
    <w:rsid w:val="0065460C"/>
    <w:rsid w:val="00660707"/>
    <w:rsid w:val="00667B5D"/>
    <w:rsid w:val="006A0FA9"/>
    <w:rsid w:val="006B42E3"/>
    <w:rsid w:val="00703861"/>
    <w:rsid w:val="0076038A"/>
    <w:rsid w:val="007B495E"/>
    <w:rsid w:val="007D41C9"/>
    <w:rsid w:val="008150B2"/>
    <w:rsid w:val="00872440"/>
    <w:rsid w:val="008A32F3"/>
    <w:rsid w:val="008A48BB"/>
    <w:rsid w:val="008C20FA"/>
    <w:rsid w:val="008E15B3"/>
    <w:rsid w:val="008F345D"/>
    <w:rsid w:val="00910E10"/>
    <w:rsid w:val="00911378"/>
    <w:rsid w:val="00920EAD"/>
    <w:rsid w:val="00933A5E"/>
    <w:rsid w:val="00936EDA"/>
    <w:rsid w:val="00947C4B"/>
    <w:rsid w:val="0096738F"/>
    <w:rsid w:val="00971D98"/>
    <w:rsid w:val="009845BD"/>
    <w:rsid w:val="009B44C4"/>
    <w:rsid w:val="009C1421"/>
    <w:rsid w:val="009C2E83"/>
    <w:rsid w:val="009C49E9"/>
    <w:rsid w:val="009C7384"/>
    <w:rsid w:val="009D5A52"/>
    <w:rsid w:val="00A06531"/>
    <w:rsid w:val="00A075D6"/>
    <w:rsid w:val="00A11A34"/>
    <w:rsid w:val="00A1358F"/>
    <w:rsid w:val="00A37562"/>
    <w:rsid w:val="00A63EAB"/>
    <w:rsid w:val="00A85B4E"/>
    <w:rsid w:val="00AF2503"/>
    <w:rsid w:val="00B027A6"/>
    <w:rsid w:val="00B17770"/>
    <w:rsid w:val="00B535DB"/>
    <w:rsid w:val="00B80A72"/>
    <w:rsid w:val="00B92F76"/>
    <w:rsid w:val="00B94D0F"/>
    <w:rsid w:val="00BB0D3D"/>
    <w:rsid w:val="00BB6ED5"/>
    <w:rsid w:val="00BC5D19"/>
    <w:rsid w:val="00BE15B1"/>
    <w:rsid w:val="00BE436E"/>
    <w:rsid w:val="00C030E3"/>
    <w:rsid w:val="00C05AFD"/>
    <w:rsid w:val="00C22112"/>
    <w:rsid w:val="00C47E64"/>
    <w:rsid w:val="00C56BD6"/>
    <w:rsid w:val="00C8087F"/>
    <w:rsid w:val="00C82220"/>
    <w:rsid w:val="00C852D0"/>
    <w:rsid w:val="00CD0592"/>
    <w:rsid w:val="00CF550D"/>
    <w:rsid w:val="00D0691B"/>
    <w:rsid w:val="00D1111B"/>
    <w:rsid w:val="00D34493"/>
    <w:rsid w:val="00D5144D"/>
    <w:rsid w:val="00D61CD0"/>
    <w:rsid w:val="00D8690E"/>
    <w:rsid w:val="00DB02E7"/>
    <w:rsid w:val="00DC27F1"/>
    <w:rsid w:val="00E04F44"/>
    <w:rsid w:val="00E211AF"/>
    <w:rsid w:val="00E34898"/>
    <w:rsid w:val="00E414B4"/>
    <w:rsid w:val="00E55162"/>
    <w:rsid w:val="00E74CBA"/>
    <w:rsid w:val="00E90CA9"/>
    <w:rsid w:val="00E9338B"/>
    <w:rsid w:val="00EA6B5B"/>
    <w:rsid w:val="00ED12AC"/>
    <w:rsid w:val="00EF4726"/>
    <w:rsid w:val="00EF4FCD"/>
    <w:rsid w:val="00F01BD4"/>
    <w:rsid w:val="00F10F5A"/>
    <w:rsid w:val="00F12D0E"/>
    <w:rsid w:val="00F14087"/>
    <w:rsid w:val="00F428C1"/>
    <w:rsid w:val="00F66721"/>
    <w:rsid w:val="00F71ABA"/>
    <w:rsid w:val="00F80804"/>
    <w:rsid w:val="00F937AC"/>
    <w:rsid w:val="00FA022F"/>
    <w:rsid w:val="00FB2885"/>
    <w:rsid w:val="00FB66E0"/>
    <w:rsid w:val="00FB7EED"/>
    <w:rsid w:val="00FD52DE"/>
    <w:rsid w:val="00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3152B"/>
  <w15:chartTrackingRefBased/>
  <w15:docId w15:val="{0CA22379-8948-A24E-8491-30C5BCE3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220"/>
    <w:pPr>
      <w:widowControl w:val="0"/>
      <w:spacing w:after="0" w:line="240" w:lineRule="auto"/>
      <w:jc w:val="both"/>
    </w:pPr>
    <w:rPr>
      <w:rFonts w:ascii="Times New Roman" w:eastAsia="SimSun" w:hAnsi="Times New Roman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2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2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22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22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22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22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22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22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22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220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220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220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220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220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220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822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2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2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2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2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2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2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220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C82220"/>
    <w:pPr>
      <w:spacing w:after="0" w:line="240" w:lineRule="auto"/>
    </w:pPr>
    <w:rPr>
      <w:sz w:val="21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1C5C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CBA"/>
    <w:rPr>
      <w:rFonts w:ascii="Times New Roman" w:eastAsia="SimSun" w:hAnsi="Times New Roman"/>
      <w:sz w:val="21"/>
      <w:szCs w:val="22"/>
      <w14:ligatures w14:val="none"/>
    </w:rPr>
  </w:style>
  <w:style w:type="paragraph" w:styleId="Revision">
    <w:name w:val="Revision"/>
    <w:hidden/>
    <w:uiPriority w:val="99"/>
    <w:semiHidden/>
    <w:rsid w:val="00C56BD6"/>
    <w:pPr>
      <w:spacing w:after="0" w:line="240" w:lineRule="auto"/>
    </w:pPr>
    <w:rPr>
      <w:rFonts w:ascii="Times New Roman" w:eastAsia="SimSun" w:hAnsi="Times New Roman"/>
      <w:sz w:val="21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56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BD6"/>
    <w:rPr>
      <w:rFonts w:ascii="Times New Roman" w:eastAsia="SimSun" w:hAnsi="Times New Roman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BD6"/>
    <w:rPr>
      <w:rFonts w:ascii="Times New Roman" w:eastAsia="SimSun" w:hAnsi="Times New Roman"/>
      <w:b/>
      <w:bCs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Xinmin Duan</dc:creator>
  <cp:keywords/>
  <dc:description/>
  <cp:lastModifiedBy>Shaw, Grace</cp:lastModifiedBy>
  <cp:revision>3</cp:revision>
  <dcterms:created xsi:type="dcterms:W3CDTF">2025-08-06T23:26:00Z</dcterms:created>
  <dcterms:modified xsi:type="dcterms:W3CDTF">2025-08-06T23:27:00Z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3027c1fb,35d4b4f2,4f10374d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2025-07-29T01:38:47Z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7fc7e7d0-42e0-4334-912a-775a3ae0efd1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