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96F7" w14:textId="617DDFE7" w:rsidR="00987EBD" w:rsidRPr="00987EBD" w:rsidRDefault="0034089F" w:rsidP="00204DD4">
      <w:pPr>
        <w:spacing w:after="0" w:line="276" w:lineRule="auto"/>
        <w:jc w:val="thaiDistribute"/>
        <w:rPr>
          <w:rFonts w:ascii="Times New Roman" w:eastAsia="Times New Roman" w:hAnsi="Times New Roman" w:cs="Cordia New"/>
          <w:kern w:val="0"/>
          <w:sz w:val="24"/>
          <w:szCs w:val="24"/>
          <w14:ligatures w14:val="none"/>
        </w:rPr>
      </w:pPr>
      <w:r>
        <w:rPr>
          <w:rFonts w:ascii="Times New Roman" w:eastAsia="Times New Roman" w:hAnsi="Times New Roman" w:cs="Cordia New"/>
          <w:b/>
          <w:bCs/>
          <w:kern w:val="0"/>
          <w:sz w:val="24"/>
          <w:szCs w:val="24"/>
          <w14:ligatures w14:val="none"/>
        </w:rPr>
        <w:t xml:space="preserve">Supplementary </w:t>
      </w:r>
      <w:r w:rsidR="00987EBD" w:rsidRPr="00987EBD">
        <w:rPr>
          <w:rFonts w:ascii="Times New Roman" w:eastAsia="Times New Roman" w:hAnsi="Times New Roman" w:cs="Cordia New"/>
          <w:b/>
          <w:bCs/>
          <w:kern w:val="0"/>
          <w:sz w:val="24"/>
          <w:szCs w:val="24"/>
          <w14:ligatures w14:val="none"/>
        </w:rPr>
        <w:t>Table 1</w:t>
      </w:r>
      <w:r w:rsidR="00987EBD" w:rsidRPr="00987EBD">
        <w:rPr>
          <w:rFonts w:ascii="Times New Roman" w:eastAsia="Times New Roman" w:hAnsi="Times New Roman" w:cs="Cordia New"/>
          <w:kern w:val="0"/>
          <w:sz w:val="24"/>
          <w:szCs w:val="24"/>
          <w14:ligatures w14:val="none"/>
        </w:rPr>
        <w:t xml:space="preserve"> Prevalence of </w:t>
      </w:r>
      <w:proofErr w:type="spellStart"/>
      <w:r w:rsidR="00987EBD" w:rsidRPr="00987EBD">
        <w:rPr>
          <w:rFonts w:ascii="Times New Roman" w:eastAsia="Times New Roman" w:hAnsi="Times New Roman" w:cs="Cordia New"/>
          <w:kern w:val="0"/>
          <w:sz w:val="24"/>
          <w:szCs w:val="24"/>
          <w14:ligatures w14:val="none"/>
        </w:rPr>
        <w:t>IgE</w:t>
      </w:r>
      <w:proofErr w:type="spellEnd"/>
      <w:r w:rsidR="00987EBD" w:rsidRPr="00987EBD">
        <w:rPr>
          <w:rFonts w:ascii="Times New Roman" w:eastAsia="Times New Roman" w:hAnsi="Times New Roman" w:cs="Cordia New"/>
          <w:kern w:val="0"/>
          <w:sz w:val="24"/>
          <w:szCs w:val="24"/>
          <w14:ligatures w14:val="none"/>
        </w:rPr>
        <w:t>-reactive protein bands in grass and weed pollen species based on immunoblot analysis</w:t>
      </w:r>
    </w:p>
    <w:p w14:paraId="565583E1" w14:textId="77777777" w:rsidR="00987EBD" w:rsidRPr="00987EBD" w:rsidRDefault="00987EBD" w:rsidP="00987EBD">
      <w:pPr>
        <w:spacing w:after="0"/>
        <w:jc w:val="thaiDistribute"/>
        <w:rPr>
          <w:rFonts w:ascii="Arial" w:eastAsia="Calibri" w:hAnsi="Arial" w:cs="Arial"/>
          <w:kern w:val="0"/>
          <w:sz w:val="20"/>
          <w:szCs w:val="24"/>
          <w14:ligatures w14:val="none"/>
        </w:rPr>
      </w:pPr>
    </w:p>
    <w:tbl>
      <w:tblPr>
        <w:tblStyle w:val="TableGrid"/>
        <w:tblW w:w="0" w:type="auto"/>
        <w:tblCellMar>
          <w:top w:w="72" w:type="dxa"/>
          <w:bottom w:w="72" w:type="dxa"/>
        </w:tblCellMar>
        <w:tblLook w:val="04A0" w:firstRow="1" w:lastRow="0" w:firstColumn="1" w:lastColumn="0" w:noHBand="0" w:noVBand="1"/>
      </w:tblPr>
      <w:tblGrid>
        <w:gridCol w:w="1743"/>
        <w:gridCol w:w="690"/>
        <w:gridCol w:w="1395"/>
        <w:gridCol w:w="2077"/>
        <w:gridCol w:w="2735"/>
      </w:tblGrid>
      <w:tr w:rsidR="00987EBD" w:rsidRPr="00987EBD" w14:paraId="516BAF82" w14:textId="77777777" w:rsidTr="00AF400A">
        <w:trPr>
          <w:trHeight w:val="253"/>
        </w:trPr>
        <w:tc>
          <w:tcPr>
            <w:tcW w:w="1743" w:type="dxa"/>
            <w:tcBorders>
              <w:top w:val="single" w:sz="6" w:space="0" w:color="auto"/>
              <w:left w:val="nil"/>
              <w:bottom w:val="single" w:sz="12" w:space="0" w:color="auto"/>
              <w:right w:val="nil"/>
            </w:tcBorders>
            <w:vAlign w:val="center"/>
          </w:tcPr>
          <w:p w14:paraId="29B13C36" w14:textId="77777777" w:rsidR="00987EBD" w:rsidRPr="00987EBD" w:rsidRDefault="00987EBD" w:rsidP="00987EBD">
            <w:pPr>
              <w:jc w:val="center"/>
              <w:rPr>
                <w:rFonts w:ascii="Times New Roman" w:eastAsia="Calibri" w:hAnsi="Times New Roman" w:cs="Times New Roman"/>
                <w:b/>
                <w:bCs/>
                <w:sz w:val="18"/>
                <w:szCs w:val="18"/>
                <w14:ligatures w14:val="none"/>
              </w:rPr>
            </w:pPr>
            <w:r w:rsidRPr="00987EBD">
              <w:rPr>
                <w:rFonts w:ascii="Times New Roman" w:eastAsia="Calibri" w:hAnsi="Times New Roman" w:cs="Times New Roman"/>
                <w:b/>
                <w:bCs/>
                <w:sz w:val="18"/>
                <w:szCs w:val="18"/>
                <w14:ligatures w14:val="none"/>
              </w:rPr>
              <w:t>Species</w:t>
            </w:r>
          </w:p>
        </w:tc>
        <w:tc>
          <w:tcPr>
            <w:tcW w:w="690" w:type="dxa"/>
            <w:tcBorders>
              <w:top w:val="single" w:sz="6" w:space="0" w:color="auto"/>
              <w:left w:val="nil"/>
              <w:bottom w:val="single" w:sz="12" w:space="0" w:color="auto"/>
              <w:right w:val="nil"/>
            </w:tcBorders>
            <w:vAlign w:val="center"/>
          </w:tcPr>
          <w:p w14:paraId="0F5FA58F" w14:textId="77777777" w:rsidR="00987EBD" w:rsidRPr="00987EBD" w:rsidRDefault="00987EBD" w:rsidP="00987EBD">
            <w:pPr>
              <w:jc w:val="center"/>
              <w:rPr>
                <w:rFonts w:ascii="Times New Roman" w:eastAsia="Calibri" w:hAnsi="Times New Roman" w:cs="Times New Roman"/>
                <w:b/>
                <w:bCs/>
                <w:sz w:val="18"/>
                <w:szCs w:val="18"/>
                <w14:ligatures w14:val="none"/>
              </w:rPr>
            </w:pPr>
            <w:r w:rsidRPr="00987EBD">
              <w:rPr>
                <w:rFonts w:ascii="Times New Roman" w:eastAsia="Calibri" w:hAnsi="Times New Roman" w:cs="Times New Roman"/>
                <w:b/>
                <w:bCs/>
                <w:sz w:val="18"/>
                <w:szCs w:val="18"/>
                <w14:ligatures w14:val="none"/>
              </w:rPr>
              <w:t>MW (</w:t>
            </w:r>
            <w:proofErr w:type="spellStart"/>
            <w:r w:rsidRPr="00987EBD">
              <w:rPr>
                <w:rFonts w:ascii="Times New Roman" w:eastAsia="Calibri" w:hAnsi="Times New Roman" w:cs="Times New Roman"/>
                <w:b/>
                <w:bCs/>
                <w:sz w:val="18"/>
                <w:szCs w:val="18"/>
                <w14:ligatures w14:val="none"/>
              </w:rPr>
              <w:t>kDa</w:t>
            </w:r>
            <w:proofErr w:type="spellEnd"/>
            <w:r w:rsidRPr="00987EBD">
              <w:rPr>
                <w:rFonts w:ascii="Times New Roman" w:eastAsia="Calibri" w:hAnsi="Times New Roman" w:cs="Times New Roman"/>
                <w:b/>
                <w:bCs/>
                <w:sz w:val="18"/>
                <w:szCs w:val="18"/>
                <w14:ligatures w14:val="none"/>
              </w:rPr>
              <w:t>)</w:t>
            </w:r>
          </w:p>
        </w:tc>
        <w:tc>
          <w:tcPr>
            <w:tcW w:w="1395" w:type="dxa"/>
            <w:tcBorders>
              <w:top w:val="single" w:sz="6" w:space="0" w:color="auto"/>
              <w:left w:val="nil"/>
              <w:bottom w:val="single" w:sz="12" w:space="0" w:color="auto"/>
              <w:right w:val="nil"/>
            </w:tcBorders>
            <w:vAlign w:val="center"/>
          </w:tcPr>
          <w:p w14:paraId="635F0C6E" w14:textId="77777777" w:rsidR="00987EBD" w:rsidRPr="00987EBD" w:rsidRDefault="00987EBD" w:rsidP="00987EBD">
            <w:pPr>
              <w:jc w:val="center"/>
              <w:rPr>
                <w:rFonts w:ascii="Times New Roman" w:eastAsia="Calibri" w:hAnsi="Times New Roman" w:cs="Times New Roman"/>
                <w:b/>
                <w:bCs/>
                <w:sz w:val="18"/>
                <w:szCs w:val="18"/>
                <w14:ligatures w14:val="none"/>
              </w:rPr>
            </w:pPr>
            <w:r w:rsidRPr="00987EBD">
              <w:rPr>
                <w:rFonts w:ascii="Times New Roman" w:eastAsia="Calibri" w:hAnsi="Times New Roman" w:cs="Times New Roman"/>
                <w:b/>
                <w:bCs/>
                <w:sz w:val="18"/>
                <w:szCs w:val="18"/>
                <w14:ligatures w14:val="none"/>
              </w:rPr>
              <w:t>% Prevalence</w:t>
            </w:r>
          </w:p>
        </w:tc>
        <w:tc>
          <w:tcPr>
            <w:tcW w:w="2077" w:type="dxa"/>
            <w:tcBorders>
              <w:top w:val="single" w:sz="6" w:space="0" w:color="auto"/>
              <w:left w:val="nil"/>
              <w:bottom w:val="single" w:sz="12" w:space="0" w:color="000000"/>
              <w:right w:val="nil"/>
            </w:tcBorders>
            <w:shd w:val="clear" w:color="auto" w:fill="auto"/>
            <w:vAlign w:val="center"/>
          </w:tcPr>
          <w:p w14:paraId="506CBB9D" w14:textId="1C9347F1" w:rsidR="00987EBD" w:rsidRPr="00AF400A" w:rsidRDefault="00987EBD" w:rsidP="00987EBD">
            <w:pPr>
              <w:jc w:val="center"/>
              <w:rPr>
                <w:rFonts w:ascii="Times New Roman" w:eastAsia="Calibri" w:hAnsi="Times New Roman" w:cs="Times New Roman"/>
                <w:sz w:val="18"/>
                <w:szCs w:val="18"/>
                <w14:ligatures w14:val="none"/>
              </w:rPr>
            </w:pPr>
            <w:r w:rsidRPr="00AF400A">
              <w:rPr>
                <w:rFonts w:ascii="Times New Roman" w:eastAsia="Calibri" w:hAnsi="Times New Roman" w:cs="Times New Roman"/>
                <w:b/>
                <w:bCs/>
                <w:color w:val="000000"/>
                <w:kern w:val="24"/>
                <w:sz w:val="18"/>
                <w:szCs w:val="18"/>
                <w14:ligatures w14:val="none"/>
              </w:rPr>
              <w:t>Putative grass pollen allergen group</w:t>
            </w:r>
            <w:r w:rsidRPr="00AF400A">
              <w:rPr>
                <w:rFonts w:ascii="Times New Roman" w:eastAsia="Calibri" w:hAnsi="Times New Roman" w:cs="Times New Roman"/>
                <w:b/>
                <w:bCs/>
                <w:color w:val="000000"/>
                <w:kern w:val="24"/>
                <w:sz w:val="18"/>
                <w:szCs w:val="18"/>
                <w14:ligatures w14:val="none"/>
              </w:rPr>
              <w:fldChar w:fldCharType="begin" w:fldLock="1"/>
            </w:r>
            <w:r w:rsidR="000F4BF3">
              <w:rPr>
                <w:rFonts w:ascii="Times New Roman" w:eastAsia="Calibri" w:hAnsi="Times New Roman" w:cs="Times New Roman"/>
                <w:b/>
                <w:bCs/>
                <w:color w:val="000000"/>
                <w:kern w:val="24"/>
                <w:sz w:val="18"/>
                <w:szCs w:val="18"/>
                <w14:ligatures w14:val="none"/>
              </w:rPr>
              <w:instrText>ADDIN CSL_CITATION {"citationItems":[{"id":"ITEM-1","itemData":{"DOI":"10.1159/000069013","ISSN":"1018-2438","PMID":"12673063","abstract":"Grass pollens are one of the most important airborne allergen sources worldwide. About 20 species from five subfamilies are considered to be the most frequent causes of grass pollen allergy, and the allergenic relationships among them closely follow their phylogenetic relationships. The allergic immune response to pollen of several grass species has been studied extensively over more than three decades. Eleven groups of allergens have been identified and described, in most cases from more than one species. The allergens range from 6 to 60 kD in apparent molecular weight and display a variety of physicochemical properties and structures. The most complete set of allergens has so far been isolated and cloned from &lt;i&gt;Phleum pratense&lt;/i&gt; (timothy grass) pollen. Based on the prevalence of IgE antibody recognition among grass pollen-sensitized individuals, several allergens qualify as major, but members of two groups, groups 1 and 5, have been shown to dominate the immune response to grass pollen extract. Isoform variation has been detected in members of several of the allergen groups, which in some cases can be linked to observed genetic differences. N-linked glycosylation occurs in members of at least three groups. Carbohydrate- reactive IgE antibodies have been attributed to grass pollen sensitization and found to cross-react with glycan structures from other allergen sources, particularly vegetable foods. Another cause of extensive cross-reactivity are the group 12 allergens (profilins), which belong to a family of proteins highly conserved throughout the plant kingdom and present in all tissues. Members of eight allergen groups have been cloned and expressed as recombinant proteins capable of specific IgE binding. This development now allows diagnostic dissection of the immune response to grass pollen with potential benefits for specific immunotherapy.","author":[{"dropping-particle":"","family":"Andersson","given":"Kerstin","non-dropping-particle":"","parse-names":false,"suffix":""},{"dropping-particle":"","family":"Lidholm","given":"Jonas","non-dropping-particle":"","parse-names":false,"suffix":""}],"container-title":"International Archives of Allergy and Immunology","id":"ITEM-1","issue":"2","issued":{"date-parts":[["2003","2"]]},"page":"87-107","title":"Characteristics and Immunobiology of Grass Pollen Allergens","type":"article-journal","volume":"130"},"uris":["http://www.mendeley.com/documents/?uuid=eb241c56-018c-4932-a458-ac96b01f1db8"]},{"id":"ITEM-2","itemData":{"DOI":"10.1111/j.1472-9733.2008.00126.x","ISSN":"14729725","author":[{"dropping-particle":"","family":"Hrabina","given":"M.","non-dropping-particle":"","parse-names":false,"suffix":""},{"dropping-particle":"","family":"Peltre","given":"G.","non-dropping-particle":"","parse-names":false,"suffix":""},{"dropping-particle":"","family":"Ree","given":"R.","non-dropping-particle":"Van","parse-names":false,"suffix":""},{"dropping-particle":"","family":"Moingeon","given":"P.","non-dropping-particle":"","parse-names":false,"suffix":""}],"container-title":"Clinical &amp; Experimental Allergy Reviews","id":"ITEM-2","issue":"1","issued":{"date-parts":[["2008","5"]]},"page":"7-11","title":"Grass pollen allergens","type":"article-journal","volume":"8"},"uris":["http://www.mendeley.com/documents/?uuid=75c4db3f-c515-429b-b73d-398cd6850236"]},{"id":"ITEM-3","itemData":{"DOI":"10.1007/s40629-015-0055-3","ISSN":"2197-0378","abstract":"Detection of specific IgE using component resolved diagnostics (CRD) identifies the underlying allergen source in suspected cases of tree and grass pollen allergy. Suitable marker allergens can be used to distinguish genuine sensitization to tree or grass pollen from cross-reactivity to pollen panallergens (e. g. profilin and polcalcins) and to overcome the lack of analytical specificity of natural allergen extracts. In patients reacting with a variety of pollen extracts suspected of polysensitization, CRD allows allergen specific diagnosis regardless of the confounding effect of panallergenic cross-reactivity and administration of tailored, specific immunotherapy. In this article, allergens indicating specific sensitization to grass and tree pollen are described. Allergens defined as marker allergens for tree and grass pollen allergy are Bet v 1 (birch pollen major allergen) for birch, beech and other trees from the Fagales order, Ole e 1 (olive pollen major allergen) for olive and other trees including ash from the Oleaceae family, Pla a 1 (major allergen of the London plane tree) for plane trees, Cry j 1 (major allergen of the Japanese cedar), Cup a 1 (major allergen of the Arizona cypress) for cypress trees and Phl p 1 und 5 (Timothy grass major allergens) for sweet grasses including rye. Grass and tree pollen allergens with serological and clinical cross-reactivity to a great number of allergen sources are also identified as possible confounding factors in allergen specific diagnosis with natural extracts. Structured diagnostic procedures for clinical routine work are proposed.","author":[{"dropping-particle":"","family":"Gangl","given":"Katharina","non-dropping-particle":"","parse-names":false,"suffix":""},{"dropping-particle":"","family":"Niederberger","given":"Verena","non-dropping-particle":"","parse-names":false,"suffix":""},{"dropping-particle":"","family":"Valenta","given":"Rudolf","non-dropping-particle":"","parse-names":false,"suffix":""},{"dropping-particle":"","family":"Nandy","given":"Andreas","non-dropping-particle":"","parse-names":false,"suffix":""}],"container-title":"Allergo Journal International","id":"ITEM-3","issue":"5","issued":{"date-parts":[["2015","8","5"]]},"page":"158-169","title":"Marker allergens and panallergens in tree and grass pollen allergy","type":"article-journal","volume":"24"},"uris":["http://www.mendeley.com/documents/?uuid=156dae23-3573-4320-a168-7bd4ec3f2b50"]}],"mendeley":{"formattedCitation":"&lt;sup&gt;1–3&lt;/sup&gt;","plainTextFormattedCitation":"1–3","previouslyFormattedCitation":"(23–25)"},"properties":{"noteIndex":0},"schema":"https://github.com/citation-style-language/schema/raw/master/csl-citation.json"}</w:instrText>
            </w:r>
            <w:r w:rsidRPr="00AF400A">
              <w:rPr>
                <w:rFonts w:ascii="Times New Roman" w:eastAsia="Calibri" w:hAnsi="Times New Roman" w:cs="Times New Roman"/>
                <w:b/>
                <w:bCs/>
                <w:color w:val="000000"/>
                <w:kern w:val="24"/>
                <w:sz w:val="18"/>
                <w:szCs w:val="18"/>
                <w14:ligatures w14:val="none"/>
              </w:rPr>
              <w:fldChar w:fldCharType="separate"/>
            </w:r>
            <w:r w:rsidR="000F4BF3">
              <w:rPr>
                <w:rFonts w:ascii="Times New Roman" w:eastAsia="Calibri" w:hAnsi="Times New Roman" w:cs="Times New Roman"/>
                <w:bCs/>
                <w:noProof/>
                <w:color w:val="000000"/>
                <w:kern w:val="24"/>
                <w:sz w:val="18"/>
                <w:szCs w:val="18"/>
                <w:vertAlign w:val="superscript"/>
                <w14:ligatures w14:val="none"/>
              </w:rPr>
              <w:t>23</w:t>
            </w:r>
            <w:r w:rsidR="000F4BF3" w:rsidRPr="000F4BF3">
              <w:rPr>
                <w:rFonts w:ascii="Times New Roman" w:eastAsia="Calibri" w:hAnsi="Times New Roman" w:cs="Times New Roman"/>
                <w:bCs/>
                <w:noProof/>
                <w:color w:val="000000"/>
                <w:kern w:val="24"/>
                <w:sz w:val="18"/>
                <w:szCs w:val="18"/>
                <w:vertAlign w:val="superscript"/>
                <w14:ligatures w14:val="none"/>
              </w:rPr>
              <w:t>–</w:t>
            </w:r>
            <w:r w:rsidR="000F4BF3">
              <w:rPr>
                <w:rFonts w:ascii="Times New Roman" w:eastAsia="Calibri" w:hAnsi="Times New Roman" w:cs="Times New Roman"/>
                <w:bCs/>
                <w:noProof/>
                <w:color w:val="000000"/>
                <w:kern w:val="24"/>
                <w:sz w:val="18"/>
                <w:szCs w:val="18"/>
                <w:vertAlign w:val="superscript"/>
                <w14:ligatures w14:val="none"/>
              </w:rPr>
              <w:t>25</w:t>
            </w:r>
            <w:r w:rsidRPr="00AF400A">
              <w:rPr>
                <w:rFonts w:ascii="Times New Roman" w:eastAsia="Calibri" w:hAnsi="Times New Roman" w:cs="Times New Roman"/>
                <w:b/>
                <w:bCs/>
                <w:color w:val="000000"/>
                <w:kern w:val="24"/>
                <w:sz w:val="18"/>
                <w:szCs w:val="18"/>
                <w14:ligatures w14:val="none"/>
              </w:rPr>
              <w:fldChar w:fldCharType="end"/>
            </w:r>
          </w:p>
        </w:tc>
        <w:tc>
          <w:tcPr>
            <w:tcW w:w="2735" w:type="dxa"/>
            <w:tcBorders>
              <w:top w:val="single" w:sz="6" w:space="0" w:color="auto"/>
              <w:left w:val="nil"/>
              <w:bottom w:val="single" w:sz="12" w:space="0" w:color="000000"/>
              <w:right w:val="nil"/>
            </w:tcBorders>
            <w:shd w:val="clear" w:color="auto" w:fill="auto"/>
            <w:vAlign w:val="center"/>
          </w:tcPr>
          <w:p w14:paraId="76666633" w14:textId="59CDDB91"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b/>
                <w:bCs/>
                <w:color w:val="000000"/>
                <w:kern w:val="24"/>
                <w:sz w:val="18"/>
                <w:szCs w:val="18"/>
                <w14:ligatures w14:val="none"/>
              </w:rPr>
              <w:t>Allergen charact</w:t>
            </w:r>
            <w:r w:rsidRPr="00AF400A">
              <w:rPr>
                <w:rFonts w:ascii="Times New Roman" w:eastAsia="Calibri" w:hAnsi="Times New Roman" w:cs="Times New Roman"/>
                <w:b/>
                <w:bCs/>
                <w:color w:val="000000"/>
                <w:kern w:val="24"/>
                <w:sz w:val="18"/>
                <w:szCs w:val="18"/>
                <w14:ligatures w14:val="none"/>
              </w:rPr>
              <w:t>eristics</w:t>
            </w:r>
            <w:r w:rsidR="00AF400A" w:rsidRPr="00AF400A">
              <w:rPr>
                <w:rFonts w:ascii="Times New Roman" w:eastAsia="Calibri" w:hAnsi="Times New Roman" w:cs="Times New Roman"/>
                <w:b/>
                <w:bCs/>
                <w:color w:val="000000"/>
                <w:kern w:val="24"/>
                <w:sz w:val="18"/>
                <w:szCs w:val="18"/>
                <w14:ligatures w14:val="none"/>
              </w:rPr>
              <w:t xml:space="preserve"> </w:t>
            </w:r>
            <w:r w:rsidR="00AF400A" w:rsidRPr="00AF400A">
              <w:rPr>
                <w:rFonts w:ascii="Times New Roman" w:eastAsia="Dotum" w:hAnsi="Times New Roman" w:cs="Times New Roman"/>
                <w:sz w:val="18"/>
                <w:szCs w:val="18"/>
              </w:rPr>
              <w:fldChar w:fldCharType="begin" w:fldLock="1"/>
            </w:r>
            <w:r w:rsidR="000F4BF3">
              <w:rPr>
                <w:rFonts w:ascii="Times New Roman" w:eastAsia="Dotum" w:hAnsi="Times New Roman" w:cs="Times New Roman"/>
                <w:sz w:val="18"/>
                <w:szCs w:val="18"/>
              </w:rPr>
              <w:instrText>ADDIN CSL_CITATION {"citationItems":[{"id":"ITEM-1","itemData":{"DOI":"10.1159/000069013","ISSN":"1018-2438","PMID":"12673063","abstract":"Grass pollens are one of the most important airborne allergen sources worldwide. About 20 species from five subfamilies are considered to be the most frequent causes of grass pollen allergy, and the allergenic relationships among them closely follow their phylogenetic relationships. The allergic immune response to pollen of several grass species has been studied extensively over more than three decades. Eleven groups of allergens have been identified and described, in most cases from more than one species. The allergens range from 6 to 60 kD in apparent molecular weight and display a variety of physicochemical properties and structures. The most complete set of allergens has so far been isolated and cloned from &lt;i&gt;Phleum pratense&lt;/i&gt; (timothy grass) pollen. Based on the prevalence of IgE antibody recognition among grass pollen-sensitized individuals, several allergens qualify as major, but members of two groups, groups 1 and 5, have been shown to dominate the immune response to grass pollen extract. Isoform variation has been detected in members of several of the allergen groups, which in some cases can be linked to observed genetic differences. N-linked glycosylation occurs in members of at least three groups. Carbohydrate- reactive IgE antibodies have been attributed to grass pollen sensitization and found to cross-react with glycan structures from other allergen sources, particularly vegetable foods. Another cause of extensive cross-reactivity are the group 12 allergens (profilins), which belong to a family of proteins highly conserved throughout the plant kingdom and present in all tissues. Members of eight allergen groups have been cloned and expressed as recombinant proteins capable of specific IgE binding. This development now allows diagnostic dissection of the immune response to grass pollen with potential benefits for specific immunotherapy.","author":[{"dropping-particle":"","family":"Andersson","given":"Kerstin","non-dropping-particle":"","parse-names":false,"suffix":""},{"dropping-particle":"","family":"Lidholm","given":"Jonas","non-dropping-particle":"","parse-names":false,"suffix":""}],"container-title":"International Archives of Allergy and Immunology","id":"ITEM-1","issue":"2","issued":{"date-parts":[["2003","2"]]},"page":"87-107","title":"Characteristics and Immunobiology of Grass Pollen Allergens","type":"article-journal","volume":"130"},"uris":["http://www.mendeley.com/documents/?uuid=eb241c56-018c-4932-a458-ac96b01f1db8"]},{"id":"ITEM-2","itemData":{"DOI":"10.1111/j.1472-9733.2008.00126.x","ISSN":"14729725","author":[{"dropping-particle":"","family":"Hrabina","given":"M.","non-dropping-particle":"","parse-names":false,"suffix":""},{"dropping-particle":"","family":"Peltre","given":"G.","non-dropping-particle":"","parse-names":false,"suffix":""},{"dropping-particle":"","family":"Ree","given":"R.","non-dropping-particle":"Van","parse-names":false,"suffix":""},{"dropping-particle":"","family":"Moingeon","given":"P.","non-dropping-particle":"","parse-names":false,"suffix":""}],"container-title":"Clinical &amp; Experimental Allergy Reviews","id":"ITEM-2","issue":"1","issued":{"date-parts":[["2008","5"]]},"page":"7-11","title":"Grass pollen allergens","type":"article-journal","volume":"8"},"uris":["http://www.mendeley.com/documents/?uuid=75c4db3f-c515-429b-b73d-398cd6850236"]},{"id":"ITEM-3","itemData":{"DOI":"10.1007/s40629-015-0055-3","ISSN":"2197-0378","abstract":"Detection of specific IgE using component resolved diagnostics (CRD) identifies the underlying allergen source in suspected cases of tree and grass pollen allergy. Suitable marker allergens can be used to distinguish genuine sensitization to tree or grass pollen from cross-reactivity to pollen panallergens (e. g. profilin and polcalcins) and to overcome the lack of analytical specificity of natural allergen extracts. In patients reacting with a variety of pollen extracts suspected of polysensitization, CRD allows allergen specific diagnosis regardless of the confounding effect of panallergenic cross-reactivity and administration of tailored, specific immunotherapy. In this article, allergens indicating specific sensitization to grass and tree pollen are described. Allergens defined as marker allergens for tree and grass pollen allergy are Bet v 1 (birch pollen major allergen) for birch, beech and other trees from the Fagales order, Ole e 1 (olive pollen major allergen) for olive and other trees including ash from the Oleaceae family, Pla a 1 (major allergen of the London plane tree) for plane trees, Cry j 1 (major allergen of the Japanese cedar), Cup a 1 (major allergen of the Arizona cypress) for cypress trees and Phl p 1 und 5 (Timothy grass major allergens) for sweet grasses including rye. Grass and tree pollen allergens with serological and clinical cross-reactivity to a great number of allergen sources are also identified as possible confounding factors in allergen specific diagnosis with natural extracts. Structured diagnostic procedures for clinical routine work are proposed.","author":[{"dropping-particle":"","family":"Gangl","given":"Katharina","non-dropping-particle":"","parse-names":false,"suffix":""},{"dropping-particle":"","family":"Niederberger","given":"Verena","non-dropping-particle":"","parse-names":false,"suffix":""},{"dropping-particle":"","family":"Valenta","given":"Rudolf","non-dropping-particle":"","parse-names":false,"suffix":""},{"dropping-particle":"","family":"Nandy","given":"Andreas","non-dropping-particle":"","parse-names":false,"suffix":""}],"container-title":"Allergo Journal International","id":"ITEM-3","issue":"5","issued":{"date-parts":[["2015","8","5"]]},"page":"158-169","title":"Marker allergens and panallergens in tree and grass pollen allergy","type":"article-journal","volume":"24"},"uris":["http://www.mendeley.com/documents/?uuid=156dae23-3573-4320-a168-7bd4ec3f2b50"]}],"mendeley":{"formattedCitation":"&lt;sup&gt;1–3&lt;/sup&gt;","manualFormatting":"23–25","plainTextFormattedCitation":"1–3","previouslyFormattedCitation":"(23–25)"},"properties":{"noteIndex":0},"schema":"https://github.com/citation-style-language/schema/raw/master/csl-citation.json"}</w:instrText>
            </w:r>
            <w:r w:rsidR="00AF400A" w:rsidRPr="00AF400A">
              <w:rPr>
                <w:rFonts w:ascii="Times New Roman" w:eastAsia="Dotum" w:hAnsi="Times New Roman" w:cs="Times New Roman"/>
                <w:sz w:val="18"/>
                <w:szCs w:val="18"/>
              </w:rPr>
              <w:fldChar w:fldCharType="separate"/>
            </w:r>
            <w:r w:rsidR="000F4BF3">
              <w:rPr>
                <w:rFonts w:ascii="Times New Roman" w:eastAsia="Dotum" w:hAnsi="Times New Roman" w:cs="Times New Roman"/>
                <w:noProof/>
                <w:sz w:val="18"/>
                <w:szCs w:val="18"/>
                <w:vertAlign w:val="superscript"/>
              </w:rPr>
              <w:t>23</w:t>
            </w:r>
            <w:r w:rsidR="000F4BF3" w:rsidRPr="000F4BF3">
              <w:rPr>
                <w:rFonts w:ascii="Times New Roman" w:eastAsia="Dotum" w:hAnsi="Times New Roman" w:cs="Times New Roman"/>
                <w:noProof/>
                <w:sz w:val="18"/>
                <w:szCs w:val="18"/>
                <w:vertAlign w:val="superscript"/>
              </w:rPr>
              <w:t>–</w:t>
            </w:r>
            <w:r w:rsidR="000F4BF3">
              <w:rPr>
                <w:rFonts w:ascii="Times New Roman" w:eastAsia="Dotum" w:hAnsi="Times New Roman" w:cs="Times New Roman"/>
                <w:noProof/>
                <w:sz w:val="18"/>
                <w:szCs w:val="18"/>
                <w:vertAlign w:val="superscript"/>
              </w:rPr>
              <w:t>25</w:t>
            </w:r>
            <w:r w:rsidR="00AF400A" w:rsidRPr="00AF400A">
              <w:rPr>
                <w:rFonts w:ascii="Times New Roman" w:eastAsia="Dotum" w:hAnsi="Times New Roman" w:cs="Times New Roman"/>
                <w:sz w:val="18"/>
                <w:szCs w:val="18"/>
              </w:rPr>
              <w:fldChar w:fldCharType="end"/>
            </w:r>
            <w:r w:rsidR="00AF400A" w:rsidRPr="00987EBD">
              <w:rPr>
                <w:rFonts w:ascii="Times New Roman" w:eastAsia="Calibri" w:hAnsi="Times New Roman" w:cs="Times New Roman"/>
                <w:sz w:val="18"/>
                <w:szCs w:val="18"/>
                <w14:ligatures w14:val="none"/>
              </w:rPr>
              <w:t xml:space="preserve"> </w:t>
            </w:r>
          </w:p>
        </w:tc>
      </w:tr>
      <w:tr w:rsidR="00987EBD" w:rsidRPr="00987EBD" w14:paraId="3931498B" w14:textId="77777777" w:rsidTr="00AF400A">
        <w:trPr>
          <w:trHeight w:val="253"/>
        </w:trPr>
        <w:tc>
          <w:tcPr>
            <w:tcW w:w="1743" w:type="dxa"/>
            <w:vMerge w:val="restart"/>
            <w:tcBorders>
              <w:top w:val="single" w:sz="12" w:space="0" w:color="auto"/>
              <w:left w:val="nil"/>
              <w:bottom w:val="nil"/>
              <w:right w:val="nil"/>
            </w:tcBorders>
            <w:vAlign w:val="center"/>
          </w:tcPr>
          <w:p w14:paraId="2B38E72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Cd</w:t>
            </w:r>
          </w:p>
          <w:p w14:paraId="41092766"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(Bermuda grass)</w:t>
            </w:r>
          </w:p>
          <w:p w14:paraId="1739588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(20 bands)</w:t>
            </w:r>
          </w:p>
        </w:tc>
        <w:tc>
          <w:tcPr>
            <w:tcW w:w="690" w:type="dxa"/>
            <w:tcBorders>
              <w:top w:val="single" w:sz="12" w:space="0" w:color="auto"/>
              <w:left w:val="nil"/>
              <w:bottom w:val="nil"/>
              <w:right w:val="nil"/>
            </w:tcBorders>
            <w:vAlign w:val="center"/>
          </w:tcPr>
          <w:p w14:paraId="0E06498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30</w:t>
            </w:r>
          </w:p>
        </w:tc>
        <w:tc>
          <w:tcPr>
            <w:tcW w:w="1395" w:type="dxa"/>
            <w:tcBorders>
              <w:top w:val="single" w:sz="12" w:space="0" w:color="auto"/>
              <w:left w:val="nil"/>
              <w:bottom w:val="nil"/>
              <w:right w:val="nil"/>
            </w:tcBorders>
            <w:vAlign w:val="center"/>
          </w:tcPr>
          <w:p w14:paraId="223E8327"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64.62*</w:t>
            </w:r>
          </w:p>
        </w:tc>
        <w:tc>
          <w:tcPr>
            <w:tcW w:w="2077" w:type="dxa"/>
            <w:tcBorders>
              <w:top w:val="single" w:sz="12" w:space="0" w:color="auto"/>
              <w:left w:val="nil"/>
              <w:bottom w:val="nil"/>
              <w:right w:val="nil"/>
            </w:tcBorders>
            <w:vAlign w:val="center"/>
          </w:tcPr>
          <w:p w14:paraId="533A25D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w:t>
            </w:r>
          </w:p>
        </w:tc>
        <w:tc>
          <w:tcPr>
            <w:tcW w:w="2735" w:type="dxa"/>
            <w:tcBorders>
              <w:top w:val="single" w:sz="12" w:space="0" w:color="000000"/>
              <w:left w:val="nil"/>
              <w:bottom w:val="nil"/>
              <w:right w:val="nil"/>
            </w:tcBorders>
            <w:shd w:val="clear" w:color="auto" w:fill="auto"/>
            <w:vAlign w:val="center"/>
          </w:tcPr>
          <w:p w14:paraId="78CB800D"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Beta-</w:t>
            </w:r>
            <w:proofErr w:type="spellStart"/>
            <w:r w:rsidRPr="00987EBD">
              <w:rPr>
                <w:rFonts w:ascii="Times New Roman" w:eastAsia="Calibri" w:hAnsi="Times New Roman" w:cs="Times New Roman"/>
                <w:color w:val="000000"/>
                <w:kern w:val="24"/>
                <w:sz w:val="18"/>
                <w:szCs w:val="18"/>
                <w14:ligatures w14:val="none"/>
              </w:rPr>
              <w:t>expansin</w:t>
            </w:r>
            <w:proofErr w:type="spellEnd"/>
            <w:r w:rsidRPr="00987EBD">
              <w:rPr>
                <w:rFonts w:ascii="Times New Roman" w:eastAsia="Calibri" w:hAnsi="Times New Roman" w:cs="Times New Roman"/>
                <w:color w:val="000000"/>
                <w:kern w:val="24"/>
                <w:sz w:val="18"/>
                <w:szCs w:val="18"/>
                <w14:ligatures w14:val="none"/>
              </w:rPr>
              <w:t xml:space="preserve">, </w:t>
            </w:r>
          </w:p>
          <w:p w14:paraId="31FC5AB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acidic glycoprotein</w:t>
            </w:r>
          </w:p>
        </w:tc>
      </w:tr>
      <w:tr w:rsidR="00987EBD" w:rsidRPr="00987EBD" w14:paraId="48FBD298" w14:textId="77777777" w:rsidTr="00AF400A">
        <w:trPr>
          <w:trHeight w:val="253"/>
        </w:trPr>
        <w:tc>
          <w:tcPr>
            <w:tcW w:w="1743" w:type="dxa"/>
            <w:vMerge/>
            <w:tcBorders>
              <w:top w:val="nil"/>
              <w:left w:val="nil"/>
              <w:bottom w:val="nil"/>
              <w:right w:val="nil"/>
            </w:tcBorders>
            <w:vAlign w:val="center"/>
          </w:tcPr>
          <w:p w14:paraId="32DF2746"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35F270B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63</w:t>
            </w:r>
          </w:p>
        </w:tc>
        <w:tc>
          <w:tcPr>
            <w:tcW w:w="1395" w:type="dxa"/>
            <w:tcBorders>
              <w:top w:val="nil"/>
              <w:left w:val="nil"/>
              <w:bottom w:val="nil"/>
              <w:right w:val="nil"/>
            </w:tcBorders>
            <w:vAlign w:val="center"/>
          </w:tcPr>
          <w:p w14:paraId="30DBC100"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49.23</w:t>
            </w:r>
          </w:p>
        </w:tc>
        <w:tc>
          <w:tcPr>
            <w:tcW w:w="2077" w:type="dxa"/>
            <w:tcBorders>
              <w:top w:val="nil"/>
              <w:left w:val="nil"/>
              <w:bottom w:val="nil"/>
              <w:right w:val="nil"/>
            </w:tcBorders>
            <w:vAlign w:val="center"/>
          </w:tcPr>
          <w:p w14:paraId="7987FBA2" w14:textId="77777777" w:rsidR="00987EBD" w:rsidRPr="00987EBD" w:rsidRDefault="00987EBD" w:rsidP="00987EBD">
            <w:pPr>
              <w:jc w:val="center"/>
              <w:rPr>
                <w:rFonts w:ascii="Times New Roman" w:eastAsia="Calibri" w:hAnsi="Times New Roman" w:cs="Times New Roman"/>
                <w:color w:val="C00000"/>
                <w:sz w:val="18"/>
                <w:szCs w:val="18"/>
                <w14:ligatures w14:val="none"/>
              </w:rPr>
            </w:pPr>
            <w:r w:rsidRPr="00987EBD">
              <w:rPr>
                <w:rFonts w:ascii="Times New Roman" w:eastAsia="Calibri" w:hAnsi="Times New Roman" w:cs="Times New Roman"/>
                <w:sz w:val="18"/>
                <w:szCs w:val="18"/>
                <w14:ligatures w14:val="none"/>
              </w:rPr>
              <w:t>4</w:t>
            </w:r>
          </w:p>
        </w:tc>
        <w:tc>
          <w:tcPr>
            <w:tcW w:w="2735" w:type="dxa"/>
            <w:tcBorders>
              <w:top w:val="nil"/>
              <w:left w:val="nil"/>
              <w:bottom w:val="nil"/>
              <w:right w:val="nil"/>
            </w:tcBorders>
            <w:shd w:val="clear" w:color="auto" w:fill="auto"/>
            <w:vAlign w:val="center"/>
          </w:tcPr>
          <w:p w14:paraId="70CD5F7F"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11D58FD6"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basic glycoprotein</w:t>
            </w:r>
          </w:p>
        </w:tc>
      </w:tr>
      <w:tr w:rsidR="00987EBD" w:rsidRPr="00987EBD" w14:paraId="41A98547" w14:textId="77777777" w:rsidTr="00AF400A">
        <w:trPr>
          <w:trHeight w:val="253"/>
        </w:trPr>
        <w:tc>
          <w:tcPr>
            <w:tcW w:w="1743" w:type="dxa"/>
            <w:vMerge/>
            <w:tcBorders>
              <w:top w:val="nil"/>
              <w:left w:val="nil"/>
              <w:bottom w:val="single" w:sz="4" w:space="0" w:color="auto"/>
              <w:right w:val="nil"/>
            </w:tcBorders>
            <w:vAlign w:val="center"/>
          </w:tcPr>
          <w:p w14:paraId="7FCAE07D"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4" w:space="0" w:color="auto"/>
              <w:right w:val="nil"/>
            </w:tcBorders>
            <w:vAlign w:val="center"/>
          </w:tcPr>
          <w:p w14:paraId="2513225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60</w:t>
            </w:r>
          </w:p>
        </w:tc>
        <w:tc>
          <w:tcPr>
            <w:tcW w:w="1395" w:type="dxa"/>
            <w:tcBorders>
              <w:top w:val="nil"/>
              <w:left w:val="nil"/>
              <w:bottom w:val="single" w:sz="4" w:space="0" w:color="auto"/>
              <w:right w:val="nil"/>
            </w:tcBorders>
            <w:vAlign w:val="center"/>
          </w:tcPr>
          <w:p w14:paraId="6A19DC24"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46.15</w:t>
            </w:r>
          </w:p>
        </w:tc>
        <w:tc>
          <w:tcPr>
            <w:tcW w:w="2077" w:type="dxa"/>
            <w:tcBorders>
              <w:top w:val="nil"/>
              <w:left w:val="nil"/>
              <w:bottom w:val="single" w:sz="4" w:space="0" w:color="auto"/>
              <w:right w:val="nil"/>
            </w:tcBorders>
            <w:vAlign w:val="center"/>
          </w:tcPr>
          <w:p w14:paraId="7D1F3E2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4, 13</w:t>
            </w:r>
          </w:p>
        </w:tc>
        <w:tc>
          <w:tcPr>
            <w:tcW w:w="2735" w:type="dxa"/>
            <w:tcBorders>
              <w:top w:val="nil"/>
              <w:left w:val="nil"/>
              <w:bottom w:val="single" w:sz="6" w:space="0" w:color="000000"/>
              <w:right w:val="nil"/>
            </w:tcBorders>
            <w:shd w:val="clear" w:color="auto" w:fill="auto"/>
            <w:vAlign w:val="center"/>
          </w:tcPr>
          <w:p w14:paraId="32A109CF"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67020C5C"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basic glycoprotein, or polygalacturonase, </w:t>
            </w:r>
          </w:p>
          <w:p w14:paraId="54A10E2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pectin-degrading enzyme</w:t>
            </w:r>
          </w:p>
        </w:tc>
      </w:tr>
      <w:tr w:rsidR="00987EBD" w:rsidRPr="00987EBD" w14:paraId="594B9DE8" w14:textId="77777777" w:rsidTr="00AF400A">
        <w:trPr>
          <w:trHeight w:val="253"/>
        </w:trPr>
        <w:tc>
          <w:tcPr>
            <w:tcW w:w="1743" w:type="dxa"/>
            <w:vMerge w:val="restart"/>
            <w:tcBorders>
              <w:top w:val="single" w:sz="4" w:space="0" w:color="auto"/>
              <w:left w:val="nil"/>
              <w:bottom w:val="nil"/>
              <w:right w:val="nil"/>
            </w:tcBorders>
            <w:vAlign w:val="center"/>
          </w:tcPr>
          <w:p w14:paraId="1F6ABFB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Um</w:t>
            </w:r>
          </w:p>
          <w:p w14:paraId="5D49E842"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(para grass)</w:t>
            </w:r>
          </w:p>
          <w:p w14:paraId="776013D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(21 bands)</w:t>
            </w:r>
          </w:p>
        </w:tc>
        <w:tc>
          <w:tcPr>
            <w:tcW w:w="690" w:type="dxa"/>
            <w:tcBorders>
              <w:top w:val="single" w:sz="4" w:space="0" w:color="auto"/>
              <w:left w:val="nil"/>
              <w:bottom w:val="nil"/>
              <w:right w:val="nil"/>
            </w:tcBorders>
            <w:vAlign w:val="center"/>
          </w:tcPr>
          <w:p w14:paraId="3BE57C6A" w14:textId="77777777" w:rsidR="00987EBD" w:rsidRPr="00987EBD" w:rsidRDefault="00987EBD" w:rsidP="00987EBD">
            <w:pPr>
              <w:jc w:val="center"/>
              <w:rPr>
                <w:rFonts w:ascii="Times New Roman" w:eastAsia="Calibri" w:hAnsi="Times New Roman" w:cs="Times New Roman"/>
                <w:sz w:val="18"/>
                <w:szCs w:val="18"/>
                <w:cs/>
                <w14:ligatures w14:val="none"/>
              </w:rPr>
            </w:pPr>
            <w:r w:rsidRPr="00987EBD">
              <w:rPr>
                <w:rFonts w:ascii="Times New Roman" w:eastAsia="Calibri" w:hAnsi="Times New Roman" w:cs="Times New Roman"/>
                <w:sz w:val="18"/>
                <w:szCs w:val="18"/>
                <w14:ligatures w14:val="none"/>
              </w:rPr>
              <w:t>63</w:t>
            </w:r>
          </w:p>
        </w:tc>
        <w:tc>
          <w:tcPr>
            <w:tcW w:w="1395" w:type="dxa"/>
            <w:tcBorders>
              <w:top w:val="single" w:sz="4" w:space="0" w:color="auto"/>
              <w:left w:val="nil"/>
              <w:bottom w:val="nil"/>
              <w:right w:val="nil"/>
            </w:tcBorders>
            <w:vAlign w:val="center"/>
          </w:tcPr>
          <w:p w14:paraId="6DE2C49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58.46*</w:t>
            </w:r>
          </w:p>
        </w:tc>
        <w:tc>
          <w:tcPr>
            <w:tcW w:w="2077" w:type="dxa"/>
            <w:tcBorders>
              <w:top w:val="single" w:sz="4" w:space="0" w:color="auto"/>
              <w:left w:val="nil"/>
              <w:bottom w:val="nil"/>
              <w:right w:val="nil"/>
            </w:tcBorders>
            <w:vAlign w:val="center"/>
          </w:tcPr>
          <w:p w14:paraId="2F9D167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w:t>
            </w:r>
          </w:p>
        </w:tc>
        <w:tc>
          <w:tcPr>
            <w:tcW w:w="2735" w:type="dxa"/>
            <w:tcBorders>
              <w:top w:val="single" w:sz="6" w:space="0" w:color="000000"/>
              <w:left w:val="nil"/>
              <w:bottom w:val="nil"/>
              <w:right w:val="nil"/>
            </w:tcBorders>
            <w:shd w:val="clear" w:color="auto" w:fill="auto"/>
            <w:vAlign w:val="center"/>
          </w:tcPr>
          <w:p w14:paraId="3873E138"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5094033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basic glycoprotein</w:t>
            </w:r>
          </w:p>
        </w:tc>
      </w:tr>
      <w:tr w:rsidR="00987EBD" w:rsidRPr="00987EBD" w14:paraId="05A7597F" w14:textId="77777777" w:rsidTr="00AF400A">
        <w:trPr>
          <w:trHeight w:val="253"/>
        </w:trPr>
        <w:tc>
          <w:tcPr>
            <w:tcW w:w="1743" w:type="dxa"/>
            <w:vMerge/>
            <w:tcBorders>
              <w:top w:val="nil"/>
              <w:left w:val="nil"/>
              <w:bottom w:val="nil"/>
              <w:right w:val="nil"/>
            </w:tcBorders>
            <w:vAlign w:val="center"/>
          </w:tcPr>
          <w:p w14:paraId="44F5BA14"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21F06137"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50</w:t>
            </w:r>
          </w:p>
        </w:tc>
        <w:tc>
          <w:tcPr>
            <w:tcW w:w="1395" w:type="dxa"/>
            <w:tcBorders>
              <w:top w:val="nil"/>
              <w:left w:val="nil"/>
              <w:bottom w:val="nil"/>
              <w:right w:val="nil"/>
            </w:tcBorders>
            <w:vAlign w:val="center"/>
          </w:tcPr>
          <w:p w14:paraId="1DCE4D8E"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50.77*</w:t>
            </w:r>
          </w:p>
        </w:tc>
        <w:tc>
          <w:tcPr>
            <w:tcW w:w="2077" w:type="dxa"/>
            <w:tcBorders>
              <w:top w:val="nil"/>
              <w:left w:val="nil"/>
              <w:bottom w:val="nil"/>
              <w:right w:val="nil"/>
            </w:tcBorders>
            <w:vAlign w:val="center"/>
          </w:tcPr>
          <w:p w14:paraId="0E81FA82"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4, 13</w:t>
            </w:r>
          </w:p>
        </w:tc>
        <w:tc>
          <w:tcPr>
            <w:tcW w:w="2735" w:type="dxa"/>
            <w:tcBorders>
              <w:top w:val="nil"/>
              <w:left w:val="nil"/>
              <w:bottom w:val="nil"/>
              <w:right w:val="nil"/>
            </w:tcBorders>
            <w:shd w:val="clear" w:color="auto" w:fill="auto"/>
            <w:vAlign w:val="center"/>
          </w:tcPr>
          <w:p w14:paraId="2B74105D"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1EA49009"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basic glycoprotein, or polygalacturonase, </w:t>
            </w:r>
          </w:p>
          <w:p w14:paraId="2A36715A"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pectin-degrading enzyme</w:t>
            </w:r>
          </w:p>
        </w:tc>
      </w:tr>
      <w:tr w:rsidR="00987EBD" w:rsidRPr="00987EBD" w14:paraId="57A8C84D" w14:textId="77777777" w:rsidTr="00AF400A">
        <w:trPr>
          <w:trHeight w:val="253"/>
        </w:trPr>
        <w:tc>
          <w:tcPr>
            <w:tcW w:w="1743" w:type="dxa"/>
            <w:vMerge/>
            <w:tcBorders>
              <w:top w:val="nil"/>
              <w:left w:val="nil"/>
              <w:bottom w:val="single" w:sz="4" w:space="0" w:color="auto"/>
              <w:right w:val="nil"/>
            </w:tcBorders>
            <w:vAlign w:val="center"/>
          </w:tcPr>
          <w:p w14:paraId="002121C6"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4" w:space="0" w:color="auto"/>
              <w:right w:val="nil"/>
            </w:tcBorders>
            <w:vAlign w:val="center"/>
          </w:tcPr>
          <w:p w14:paraId="12196B18"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30</w:t>
            </w:r>
          </w:p>
        </w:tc>
        <w:tc>
          <w:tcPr>
            <w:tcW w:w="1395" w:type="dxa"/>
            <w:tcBorders>
              <w:top w:val="nil"/>
              <w:left w:val="nil"/>
              <w:bottom w:val="single" w:sz="4" w:space="0" w:color="auto"/>
              <w:right w:val="nil"/>
            </w:tcBorders>
            <w:vAlign w:val="center"/>
          </w:tcPr>
          <w:p w14:paraId="742E3A1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44.62</w:t>
            </w:r>
          </w:p>
        </w:tc>
        <w:tc>
          <w:tcPr>
            <w:tcW w:w="2077" w:type="dxa"/>
            <w:tcBorders>
              <w:top w:val="nil"/>
              <w:left w:val="nil"/>
              <w:bottom w:val="single" w:sz="4" w:space="0" w:color="auto"/>
              <w:right w:val="nil"/>
            </w:tcBorders>
            <w:vAlign w:val="center"/>
          </w:tcPr>
          <w:p w14:paraId="2C780378"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w:t>
            </w:r>
          </w:p>
        </w:tc>
        <w:tc>
          <w:tcPr>
            <w:tcW w:w="2735" w:type="dxa"/>
            <w:tcBorders>
              <w:top w:val="nil"/>
              <w:left w:val="nil"/>
              <w:bottom w:val="single" w:sz="6" w:space="0" w:color="000000"/>
              <w:right w:val="nil"/>
            </w:tcBorders>
            <w:shd w:val="clear" w:color="auto" w:fill="auto"/>
            <w:vAlign w:val="center"/>
          </w:tcPr>
          <w:p w14:paraId="1329E099"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Beta-</w:t>
            </w:r>
            <w:proofErr w:type="spellStart"/>
            <w:r w:rsidRPr="00987EBD">
              <w:rPr>
                <w:rFonts w:ascii="Times New Roman" w:eastAsia="Calibri" w:hAnsi="Times New Roman" w:cs="Times New Roman"/>
                <w:color w:val="000000"/>
                <w:kern w:val="24"/>
                <w:sz w:val="18"/>
                <w:szCs w:val="18"/>
                <w14:ligatures w14:val="none"/>
              </w:rPr>
              <w:t>expansin</w:t>
            </w:r>
            <w:proofErr w:type="spellEnd"/>
            <w:r w:rsidRPr="00987EBD">
              <w:rPr>
                <w:rFonts w:ascii="Times New Roman" w:eastAsia="Calibri" w:hAnsi="Times New Roman" w:cs="Times New Roman"/>
                <w:color w:val="000000"/>
                <w:kern w:val="24"/>
                <w:sz w:val="18"/>
                <w:szCs w:val="18"/>
                <w14:ligatures w14:val="none"/>
              </w:rPr>
              <w:t xml:space="preserve">, </w:t>
            </w:r>
          </w:p>
          <w:p w14:paraId="489A046E"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acidic glycoprotein</w:t>
            </w:r>
          </w:p>
        </w:tc>
      </w:tr>
      <w:tr w:rsidR="00987EBD" w:rsidRPr="00987EBD" w14:paraId="5927E93A" w14:textId="77777777" w:rsidTr="00AF400A">
        <w:trPr>
          <w:trHeight w:val="253"/>
        </w:trPr>
        <w:tc>
          <w:tcPr>
            <w:tcW w:w="1743" w:type="dxa"/>
            <w:vMerge w:val="restart"/>
            <w:tcBorders>
              <w:top w:val="single" w:sz="4" w:space="0" w:color="auto"/>
              <w:left w:val="nil"/>
              <w:bottom w:val="nil"/>
              <w:right w:val="nil"/>
            </w:tcBorders>
            <w:vAlign w:val="center"/>
          </w:tcPr>
          <w:p w14:paraId="011911BC" w14:textId="77777777" w:rsidR="00987EBD" w:rsidRPr="00987EBD" w:rsidRDefault="00987EBD" w:rsidP="00987EBD">
            <w:pPr>
              <w:jc w:val="center"/>
              <w:rPr>
                <w:rFonts w:ascii="Times New Roman" w:eastAsia="Calibri" w:hAnsi="Times New Roman" w:cs="Times New Roman"/>
                <w:sz w:val="18"/>
                <w:szCs w:val="18"/>
                <w14:ligatures w14:val="none"/>
              </w:rPr>
            </w:pPr>
            <w:proofErr w:type="spellStart"/>
            <w:r w:rsidRPr="00987EBD">
              <w:rPr>
                <w:rFonts w:ascii="Times New Roman" w:eastAsia="Calibri" w:hAnsi="Times New Roman" w:cs="Times New Roman"/>
                <w:sz w:val="18"/>
                <w:szCs w:val="18"/>
                <w14:ligatures w14:val="none"/>
              </w:rPr>
              <w:t>Sh</w:t>
            </w:r>
            <w:proofErr w:type="spellEnd"/>
          </w:p>
          <w:p w14:paraId="39CA1205"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(Johnson grass)</w:t>
            </w:r>
          </w:p>
          <w:p w14:paraId="1822108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(23 bands)</w:t>
            </w:r>
          </w:p>
        </w:tc>
        <w:tc>
          <w:tcPr>
            <w:tcW w:w="690" w:type="dxa"/>
            <w:tcBorders>
              <w:top w:val="single" w:sz="4" w:space="0" w:color="auto"/>
              <w:left w:val="nil"/>
              <w:bottom w:val="nil"/>
              <w:right w:val="nil"/>
            </w:tcBorders>
            <w:vAlign w:val="center"/>
          </w:tcPr>
          <w:p w14:paraId="6DE1C225"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30</w:t>
            </w:r>
          </w:p>
        </w:tc>
        <w:tc>
          <w:tcPr>
            <w:tcW w:w="1395" w:type="dxa"/>
            <w:tcBorders>
              <w:top w:val="single" w:sz="4" w:space="0" w:color="auto"/>
              <w:left w:val="nil"/>
              <w:bottom w:val="nil"/>
              <w:right w:val="nil"/>
            </w:tcBorders>
            <w:vAlign w:val="center"/>
          </w:tcPr>
          <w:p w14:paraId="08E1E5E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66.15*</w:t>
            </w:r>
          </w:p>
        </w:tc>
        <w:tc>
          <w:tcPr>
            <w:tcW w:w="2077" w:type="dxa"/>
            <w:tcBorders>
              <w:top w:val="single" w:sz="4" w:space="0" w:color="auto"/>
              <w:left w:val="nil"/>
              <w:bottom w:val="nil"/>
              <w:right w:val="nil"/>
            </w:tcBorders>
            <w:vAlign w:val="center"/>
          </w:tcPr>
          <w:p w14:paraId="5D3C9385"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w:t>
            </w:r>
          </w:p>
        </w:tc>
        <w:tc>
          <w:tcPr>
            <w:tcW w:w="2735" w:type="dxa"/>
            <w:tcBorders>
              <w:top w:val="single" w:sz="6" w:space="0" w:color="000000"/>
              <w:left w:val="nil"/>
              <w:bottom w:val="nil"/>
              <w:right w:val="nil"/>
            </w:tcBorders>
            <w:shd w:val="clear" w:color="auto" w:fill="auto"/>
            <w:vAlign w:val="center"/>
          </w:tcPr>
          <w:p w14:paraId="77F44AA7"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Beta-</w:t>
            </w:r>
            <w:proofErr w:type="spellStart"/>
            <w:r w:rsidRPr="00987EBD">
              <w:rPr>
                <w:rFonts w:ascii="Times New Roman" w:eastAsia="Calibri" w:hAnsi="Times New Roman" w:cs="Times New Roman"/>
                <w:color w:val="000000"/>
                <w:kern w:val="24"/>
                <w:sz w:val="18"/>
                <w:szCs w:val="18"/>
                <w14:ligatures w14:val="none"/>
              </w:rPr>
              <w:t>expansin</w:t>
            </w:r>
            <w:proofErr w:type="spellEnd"/>
            <w:r w:rsidRPr="00987EBD">
              <w:rPr>
                <w:rFonts w:ascii="Times New Roman" w:eastAsia="Calibri" w:hAnsi="Times New Roman" w:cs="Times New Roman"/>
                <w:color w:val="000000"/>
                <w:kern w:val="24"/>
                <w:sz w:val="18"/>
                <w:szCs w:val="18"/>
                <w14:ligatures w14:val="none"/>
              </w:rPr>
              <w:t xml:space="preserve">, </w:t>
            </w:r>
          </w:p>
          <w:p w14:paraId="71E0D3B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acidic glycoprotein</w:t>
            </w:r>
          </w:p>
        </w:tc>
      </w:tr>
      <w:tr w:rsidR="00987EBD" w:rsidRPr="00987EBD" w14:paraId="3A9BFB0A" w14:textId="77777777" w:rsidTr="00AF400A">
        <w:trPr>
          <w:trHeight w:val="253"/>
        </w:trPr>
        <w:tc>
          <w:tcPr>
            <w:tcW w:w="1743" w:type="dxa"/>
            <w:vMerge/>
            <w:tcBorders>
              <w:top w:val="nil"/>
              <w:left w:val="nil"/>
              <w:bottom w:val="nil"/>
              <w:right w:val="nil"/>
            </w:tcBorders>
            <w:vAlign w:val="center"/>
          </w:tcPr>
          <w:p w14:paraId="6B2B41BD"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7585F08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63</w:t>
            </w:r>
          </w:p>
        </w:tc>
        <w:tc>
          <w:tcPr>
            <w:tcW w:w="1395" w:type="dxa"/>
            <w:tcBorders>
              <w:top w:val="nil"/>
              <w:left w:val="nil"/>
              <w:bottom w:val="nil"/>
              <w:right w:val="nil"/>
            </w:tcBorders>
            <w:vAlign w:val="center"/>
          </w:tcPr>
          <w:p w14:paraId="2E69A1C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61.54*</w:t>
            </w:r>
          </w:p>
        </w:tc>
        <w:tc>
          <w:tcPr>
            <w:tcW w:w="2077" w:type="dxa"/>
            <w:tcBorders>
              <w:top w:val="nil"/>
              <w:left w:val="nil"/>
              <w:bottom w:val="nil"/>
              <w:right w:val="nil"/>
            </w:tcBorders>
            <w:vAlign w:val="center"/>
          </w:tcPr>
          <w:p w14:paraId="2570C37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w:t>
            </w:r>
          </w:p>
        </w:tc>
        <w:tc>
          <w:tcPr>
            <w:tcW w:w="2735" w:type="dxa"/>
            <w:tcBorders>
              <w:top w:val="nil"/>
              <w:left w:val="nil"/>
              <w:bottom w:val="nil"/>
              <w:right w:val="nil"/>
            </w:tcBorders>
            <w:shd w:val="clear" w:color="auto" w:fill="auto"/>
            <w:vAlign w:val="center"/>
          </w:tcPr>
          <w:p w14:paraId="7208449C"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423D0956"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basic glycoprotein</w:t>
            </w:r>
          </w:p>
        </w:tc>
      </w:tr>
      <w:tr w:rsidR="00987EBD" w:rsidRPr="00987EBD" w14:paraId="36B659A9" w14:textId="77777777" w:rsidTr="00AF400A">
        <w:trPr>
          <w:trHeight w:val="253"/>
        </w:trPr>
        <w:tc>
          <w:tcPr>
            <w:tcW w:w="1743" w:type="dxa"/>
            <w:vMerge/>
            <w:tcBorders>
              <w:top w:val="nil"/>
              <w:left w:val="nil"/>
              <w:bottom w:val="single" w:sz="4" w:space="0" w:color="auto"/>
              <w:right w:val="nil"/>
            </w:tcBorders>
            <w:vAlign w:val="center"/>
          </w:tcPr>
          <w:p w14:paraId="0CFA7D76"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4" w:space="0" w:color="auto"/>
              <w:right w:val="nil"/>
            </w:tcBorders>
            <w:vAlign w:val="center"/>
          </w:tcPr>
          <w:p w14:paraId="00ABCEA5"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60</w:t>
            </w:r>
          </w:p>
        </w:tc>
        <w:tc>
          <w:tcPr>
            <w:tcW w:w="1395" w:type="dxa"/>
            <w:tcBorders>
              <w:top w:val="nil"/>
              <w:left w:val="nil"/>
              <w:bottom w:val="single" w:sz="4" w:space="0" w:color="auto"/>
              <w:right w:val="nil"/>
            </w:tcBorders>
            <w:vAlign w:val="center"/>
          </w:tcPr>
          <w:p w14:paraId="5A233AF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36.92</w:t>
            </w:r>
          </w:p>
        </w:tc>
        <w:tc>
          <w:tcPr>
            <w:tcW w:w="2077" w:type="dxa"/>
            <w:tcBorders>
              <w:top w:val="nil"/>
              <w:left w:val="nil"/>
              <w:bottom w:val="single" w:sz="4" w:space="0" w:color="auto"/>
              <w:right w:val="nil"/>
            </w:tcBorders>
            <w:vAlign w:val="center"/>
          </w:tcPr>
          <w:p w14:paraId="1499602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4, 13</w:t>
            </w:r>
          </w:p>
        </w:tc>
        <w:tc>
          <w:tcPr>
            <w:tcW w:w="2735" w:type="dxa"/>
            <w:tcBorders>
              <w:top w:val="nil"/>
              <w:left w:val="nil"/>
              <w:bottom w:val="single" w:sz="6" w:space="0" w:color="000000"/>
              <w:right w:val="nil"/>
            </w:tcBorders>
            <w:shd w:val="clear" w:color="auto" w:fill="auto"/>
            <w:vAlign w:val="center"/>
          </w:tcPr>
          <w:p w14:paraId="5B0AC8B4"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47C289FE"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basic glycoprotein, or polygalacturonase, </w:t>
            </w:r>
          </w:p>
          <w:p w14:paraId="0D349EA2"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pectin-degrading enzyme</w:t>
            </w:r>
          </w:p>
        </w:tc>
      </w:tr>
      <w:tr w:rsidR="00987EBD" w:rsidRPr="00987EBD" w14:paraId="50DB7795" w14:textId="77777777" w:rsidTr="00AF400A">
        <w:trPr>
          <w:trHeight w:val="253"/>
        </w:trPr>
        <w:tc>
          <w:tcPr>
            <w:tcW w:w="1743" w:type="dxa"/>
            <w:vMerge w:val="restart"/>
            <w:tcBorders>
              <w:top w:val="single" w:sz="4" w:space="0" w:color="auto"/>
              <w:left w:val="nil"/>
              <w:bottom w:val="nil"/>
              <w:right w:val="nil"/>
            </w:tcBorders>
            <w:vAlign w:val="center"/>
          </w:tcPr>
          <w:p w14:paraId="0C9A73B3" w14:textId="77777777" w:rsidR="00987EBD" w:rsidRPr="00987EBD" w:rsidRDefault="00987EBD" w:rsidP="00987EBD">
            <w:pPr>
              <w:jc w:val="center"/>
              <w:rPr>
                <w:rFonts w:ascii="Times New Roman" w:eastAsia="Calibri" w:hAnsi="Times New Roman" w:cs="Times New Roman"/>
                <w:sz w:val="18"/>
                <w:szCs w:val="18"/>
                <w14:ligatures w14:val="none"/>
              </w:rPr>
            </w:pPr>
            <w:proofErr w:type="spellStart"/>
            <w:r w:rsidRPr="00987EBD">
              <w:rPr>
                <w:rFonts w:ascii="Times New Roman" w:eastAsia="Calibri" w:hAnsi="Times New Roman" w:cs="Times New Roman"/>
                <w:sz w:val="18"/>
                <w:szCs w:val="18"/>
                <w14:ligatures w14:val="none"/>
              </w:rPr>
              <w:t>Zm</w:t>
            </w:r>
            <w:proofErr w:type="spellEnd"/>
          </w:p>
          <w:p w14:paraId="1C55628F"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(Manila grass)</w:t>
            </w:r>
          </w:p>
          <w:p w14:paraId="12B2DB3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(20 bands)</w:t>
            </w:r>
          </w:p>
        </w:tc>
        <w:tc>
          <w:tcPr>
            <w:tcW w:w="690" w:type="dxa"/>
            <w:tcBorders>
              <w:top w:val="single" w:sz="4" w:space="0" w:color="auto"/>
              <w:left w:val="nil"/>
              <w:bottom w:val="nil"/>
              <w:right w:val="nil"/>
            </w:tcBorders>
            <w:vAlign w:val="center"/>
          </w:tcPr>
          <w:p w14:paraId="728FDF6F"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63</w:t>
            </w:r>
          </w:p>
        </w:tc>
        <w:tc>
          <w:tcPr>
            <w:tcW w:w="1395" w:type="dxa"/>
            <w:tcBorders>
              <w:top w:val="single" w:sz="4" w:space="0" w:color="auto"/>
              <w:left w:val="nil"/>
              <w:bottom w:val="nil"/>
              <w:right w:val="nil"/>
            </w:tcBorders>
            <w:vAlign w:val="center"/>
          </w:tcPr>
          <w:p w14:paraId="147B901A"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50.77*</w:t>
            </w:r>
          </w:p>
        </w:tc>
        <w:tc>
          <w:tcPr>
            <w:tcW w:w="2077" w:type="dxa"/>
            <w:tcBorders>
              <w:top w:val="single" w:sz="4" w:space="0" w:color="auto"/>
              <w:left w:val="nil"/>
              <w:bottom w:val="nil"/>
              <w:right w:val="nil"/>
            </w:tcBorders>
            <w:vAlign w:val="center"/>
          </w:tcPr>
          <w:p w14:paraId="6353E2C6"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w:t>
            </w:r>
          </w:p>
        </w:tc>
        <w:tc>
          <w:tcPr>
            <w:tcW w:w="2735" w:type="dxa"/>
            <w:tcBorders>
              <w:top w:val="single" w:sz="6" w:space="0" w:color="000000"/>
              <w:left w:val="nil"/>
              <w:bottom w:val="nil"/>
              <w:right w:val="nil"/>
            </w:tcBorders>
            <w:shd w:val="clear" w:color="auto" w:fill="auto"/>
            <w:vAlign w:val="center"/>
          </w:tcPr>
          <w:p w14:paraId="242FC203"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 xml:space="preserve">Flavoenzymes, </w:t>
            </w:r>
          </w:p>
          <w:p w14:paraId="5732BF2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basic glycoprotein</w:t>
            </w:r>
          </w:p>
        </w:tc>
      </w:tr>
      <w:tr w:rsidR="00987EBD" w:rsidRPr="00987EBD" w14:paraId="351FA569" w14:textId="77777777" w:rsidTr="00AF400A">
        <w:trPr>
          <w:trHeight w:val="253"/>
        </w:trPr>
        <w:tc>
          <w:tcPr>
            <w:tcW w:w="1743" w:type="dxa"/>
            <w:vMerge/>
            <w:tcBorders>
              <w:top w:val="nil"/>
              <w:left w:val="nil"/>
              <w:bottom w:val="nil"/>
              <w:right w:val="nil"/>
            </w:tcBorders>
            <w:vAlign w:val="center"/>
          </w:tcPr>
          <w:p w14:paraId="0E876F1E"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7CBE7928"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30</w:t>
            </w:r>
          </w:p>
        </w:tc>
        <w:tc>
          <w:tcPr>
            <w:tcW w:w="1395" w:type="dxa"/>
            <w:tcBorders>
              <w:top w:val="nil"/>
              <w:left w:val="nil"/>
              <w:bottom w:val="nil"/>
              <w:right w:val="nil"/>
            </w:tcBorders>
            <w:vAlign w:val="center"/>
          </w:tcPr>
          <w:p w14:paraId="323AFAA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49.23</w:t>
            </w:r>
          </w:p>
        </w:tc>
        <w:tc>
          <w:tcPr>
            <w:tcW w:w="2077" w:type="dxa"/>
            <w:tcBorders>
              <w:top w:val="nil"/>
              <w:left w:val="nil"/>
              <w:bottom w:val="nil"/>
              <w:right w:val="nil"/>
            </w:tcBorders>
            <w:vAlign w:val="center"/>
          </w:tcPr>
          <w:p w14:paraId="1BADB926"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w:t>
            </w:r>
          </w:p>
        </w:tc>
        <w:tc>
          <w:tcPr>
            <w:tcW w:w="2735" w:type="dxa"/>
            <w:tcBorders>
              <w:top w:val="nil"/>
              <w:left w:val="nil"/>
              <w:bottom w:val="nil"/>
              <w:right w:val="nil"/>
            </w:tcBorders>
            <w:shd w:val="clear" w:color="auto" w:fill="auto"/>
            <w:vAlign w:val="center"/>
          </w:tcPr>
          <w:p w14:paraId="72A4A54B"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Beta-</w:t>
            </w:r>
            <w:proofErr w:type="spellStart"/>
            <w:r w:rsidRPr="00987EBD">
              <w:rPr>
                <w:rFonts w:ascii="Times New Roman" w:eastAsia="Calibri" w:hAnsi="Times New Roman" w:cs="Times New Roman"/>
                <w:color w:val="000000"/>
                <w:kern w:val="24"/>
                <w:sz w:val="18"/>
                <w:szCs w:val="18"/>
                <w14:ligatures w14:val="none"/>
              </w:rPr>
              <w:t>expansin</w:t>
            </w:r>
            <w:proofErr w:type="spellEnd"/>
            <w:r w:rsidRPr="00987EBD">
              <w:rPr>
                <w:rFonts w:ascii="Times New Roman" w:eastAsia="Calibri" w:hAnsi="Times New Roman" w:cs="Times New Roman"/>
                <w:color w:val="000000"/>
                <w:kern w:val="24"/>
                <w:sz w:val="18"/>
                <w:szCs w:val="18"/>
                <w14:ligatures w14:val="none"/>
              </w:rPr>
              <w:t xml:space="preserve">, </w:t>
            </w:r>
          </w:p>
          <w:p w14:paraId="31661AD2"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acidic glycoprotein</w:t>
            </w:r>
          </w:p>
        </w:tc>
      </w:tr>
      <w:tr w:rsidR="00987EBD" w:rsidRPr="00987EBD" w14:paraId="257680A4" w14:textId="77777777" w:rsidTr="00AF400A">
        <w:trPr>
          <w:trHeight w:val="253"/>
        </w:trPr>
        <w:tc>
          <w:tcPr>
            <w:tcW w:w="1743" w:type="dxa"/>
            <w:vMerge/>
            <w:tcBorders>
              <w:top w:val="nil"/>
              <w:left w:val="nil"/>
              <w:bottom w:val="single" w:sz="4" w:space="0" w:color="auto"/>
              <w:right w:val="nil"/>
            </w:tcBorders>
            <w:vAlign w:val="center"/>
          </w:tcPr>
          <w:p w14:paraId="1A196CB0"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4" w:space="0" w:color="auto"/>
              <w:right w:val="nil"/>
            </w:tcBorders>
            <w:vAlign w:val="center"/>
          </w:tcPr>
          <w:p w14:paraId="5C6B509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34</w:t>
            </w:r>
          </w:p>
        </w:tc>
        <w:tc>
          <w:tcPr>
            <w:tcW w:w="1395" w:type="dxa"/>
            <w:tcBorders>
              <w:top w:val="nil"/>
              <w:left w:val="nil"/>
              <w:bottom w:val="single" w:sz="4" w:space="0" w:color="auto"/>
              <w:right w:val="nil"/>
            </w:tcBorders>
            <w:vAlign w:val="center"/>
          </w:tcPr>
          <w:p w14:paraId="1C00651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38.46</w:t>
            </w:r>
          </w:p>
        </w:tc>
        <w:tc>
          <w:tcPr>
            <w:tcW w:w="2077" w:type="dxa"/>
            <w:tcBorders>
              <w:top w:val="nil"/>
              <w:left w:val="nil"/>
              <w:bottom w:val="single" w:sz="4" w:space="0" w:color="auto"/>
              <w:right w:val="nil"/>
            </w:tcBorders>
            <w:vAlign w:val="center"/>
          </w:tcPr>
          <w:p w14:paraId="5633C75A"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w:t>
            </w:r>
          </w:p>
        </w:tc>
        <w:tc>
          <w:tcPr>
            <w:tcW w:w="2735" w:type="dxa"/>
            <w:tcBorders>
              <w:top w:val="nil"/>
              <w:left w:val="nil"/>
              <w:bottom w:val="single" w:sz="6" w:space="0" w:color="000000"/>
              <w:right w:val="nil"/>
            </w:tcBorders>
            <w:shd w:val="clear" w:color="auto" w:fill="auto"/>
            <w:vAlign w:val="center"/>
          </w:tcPr>
          <w:p w14:paraId="1B739BEB" w14:textId="77777777" w:rsidR="00987EBD" w:rsidRPr="00987EBD" w:rsidRDefault="00987EBD" w:rsidP="00987EBD">
            <w:pPr>
              <w:jc w:val="center"/>
              <w:rPr>
                <w:rFonts w:ascii="Times New Roman" w:eastAsia="Calibri" w:hAnsi="Times New Roman" w:cs="Times New Roman"/>
                <w:color w:val="000000"/>
                <w:kern w:val="24"/>
                <w:sz w:val="18"/>
                <w:szCs w:val="18"/>
                <w14:ligatures w14:val="none"/>
              </w:rPr>
            </w:pPr>
            <w:r w:rsidRPr="00987EBD">
              <w:rPr>
                <w:rFonts w:ascii="Times New Roman" w:eastAsia="Calibri" w:hAnsi="Times New Roman" w:cs="Times New Roman"/>
                <w:color w:val="000000"/>
                <w:kern w:val="24"/>
                <w:sz w:val="18"/>
                <w:szCs w:val="18"/>
                <w14:ligatures w14:val="none"/>
              </w:rPr>
              <w:t>Beta-</w:t>
            </w:r>
            <w:proofErr w:type="spellStart"/>
            <w:r w:rsidRPr="00987EBD">
              <w:rPr>
                <w:rFonts w:ascii="Times New Roman" w:eastAsia="Calibri" w:hAnsi="Times New Roman" w:cs="Times New Roman"/>
                <w:color w:val="000000"/>
                <w:kern w:val="24"/>
                <w:sz w:val="18"/>
                <w:szCs w:val="18"/>
                <w14:ligatures w14:val="none"/>
              </w:rPr>
              <w:t>expansin</w:t>
            </w:r>
            <w:proofErr w:type="spellEnd"/>
            <w:r w:rsidRPr="00987EBD">
              <w:rPr>
                <w:rFonts w:ascii="Times New Roman" w:eastAsia="Calibri" w:hAnsi="Times New Roman" w:cs="Times New Roman"/>
                <w:color w:val="000000"/>
                <w:kern w:val="24"/>
                <w:sz w:val="18"/>
                <w:szCs w:val="18"/>
                <w14:ligatures w14:val="none"/>
              </w:rPr>
              <w:t xml:space="preserve">, </w:t>
            </w:r>
          </w:p>
          <w:p w14:paraId="3D314024"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color w:val="000000"/>
                <w:kern w:val="24"/>
                <w:sz w:val="18"/>
                <w:szCs w:val="18"/>
                <w14:ligatures w14:val="none"/>
              </w:rPr>
              <w:t>acidic glycoprotein</w:t>
            </w:r>
          </w:p>
        </w:tc>
      </w:tr>
      <w:tr w:rsidR="00987EBD" w:rsidRPr="00987EBD" w14:paraId="44536667" w14:textId="77777777" w:rsidTr="00AF400A">
        <w:trPr>
          <w:trHeight w:val="253"/>
        </w:trPr>
        <w:tc>
          <w:tcPr>
            <w:tcW w:w="1743" w:type="dxa"/>
            <w:vMerge w:val="restart"/>
            <w:tcBorders>
              <w:top w:val="single" w:sz="4" w:space="0" w:color="auto"/>
              <w:left w:val="nil"/>
              <w:bottom w:val="nil"/>
              <w:right w:val="nil"/>
            </w:tcBorders>
            <w:vAlign w:val="center"/>
          </w:tcPr>
          <w:p w14:paraId="4E31EC1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Cm</w:t>
            </w:r>
          </w:p>
          <w:p w14:paraId="6C3A35DE"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(nutsedge)</w:t>
            </w:r>
          </w:p>
          <w:p w14:paraId="103182D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(21 bands)</w:t>
            </w:r>
          </w:p>
        </w:tc>
        <w:tc>
          <w:tcPr>
            <w:tcW w:w="690" w:type="dxa"/>
            <w:tcBorders>
              <w:top w:val="single" w:sz="4" w:space="0" w:color="auto"/>
              <w:left w:val="nil"/>
              <w:bottom w:val="nil"/>
              <w:right w:val="nil"/>
            </w:tcBorders>
            <w:vAlign w:val="center"/>
          </w:tcPr>
          <w:p w14:paraId="5675D31D"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75</w:t>
            </w:r>
          </w:p>
        </w:tc>
        <w:tc>
          <w:tcPr>
            <w:tcW w:w="1395" w:type="dxa"/>
            <w:tcBorders>
              <w:top w:val="single" w:sz="4" w:space="0" w:color="auto"/>
              <w:left w:val="nil"/>
              <w:bottom w:val="nil"/>
              <w:right w:val="nil"/>
            </w:tcBorders>
            <w:vAlign w:val="center"/>
          </w:tcPr>
          <w:p w14:paraId="0130EB4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40.00</w:t>
            </w:r>
          </w:p>
        </w:tc>
        <w:tc>
          <w:tcPr>
            <w:tcW w:w="2077" w:type="dxa"/>
            <w:tcBorders>
              <w:top w:val="single" w:sz="4" w:space="0" w:color="auto"/>
              <w:left w:val="nil"/>
              <w:bottom w:val="nil"/>
              <w:right w:val="nil"/>
            </w:tcBorders>
            <w:vAlign w:val="center"/>
          </w:tcPr>
          <w:p w14:paraId="4CBF0AA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single" w:sz="4" w:space="0" w:color="auto"/>
              <w:left w:val="nil"/>
              <w:bottom w:val="nil"/>
              <w:right w:val="nil"/>
            </w:tcBorders>
            <w:vAlign w:val="center"/>
          </w:tcPr>
          <w:p w14:paraId="5807F51E"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r w:rsidR="00987EBD" w:rsidRPr="00987EBD" w14:paraId="7B0A9FB1" w14:textId="77777777" w:rsidTr="00AF400A">
        <w:trPr>
          <w:trHeight w:val="253"/>
        </w:trPr>
        <w:tc>
          <w:tcPr>
            <w:tcW w:w="1743" w:type="dxa"/>
            <w:vMerge/>
            <w:tcBorders>
              <w:top w:val="nil"/>
              <w:left w:val="nil"/>
              <w:bottom w:val="nil"/>
              <w:right w:val="nil"/>
            </w:tcBorders>
            <w:vAlign w:val="center"/>
          </w:tcPr>
          <w:p w14:paraId="4E8C437A"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760572CA"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25</w:t>
            </w:r>
          </w:p>
        </w:tc>
        <w:tc>
          <w:tcPr>
            <w:tcW w:w="1395" w:type="dxa"/>
            <w:tcBorders>
              <w:top w:val="nil"/>
              <w:left w:val="nil"/>
              <w:bottom w:val="nil"/>
              <w:right w:val="nil"/>
            </w:tcBorders>
            <w:vAlign w:val="center"/>
          </w:tcPr>
          <w:p w14:paraId="4A11968F"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38.46</w:t>
            </w:r>
          </w:p>
        </w:tc>
        <w:tc>
          <w:tcPr>
            <w:tcW w:w="2077" w:type="dxa"/>
            <w:tcBorders>
              <w:top w:val="nil"/>
              <w:left w:val="nil"/>
              <w:bottom w:val="nil"/>
              <w:right w:val="nil"/>
            </w:tcBorders>
            <w:vAlign w:val="center"/>
          </w:tcPr>
          <w:p w14:paraId="1FC9CA70"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nil"/>
              <w:left w:val="nil"/>
              <w:bottom w:val="nil"/>
              <w:right w:val="nil"/>
            </w:tcBorders>
            <w:vAlign w:val="center"/>
          </w:tcPr>
          <w:p w14:paraId="1B67E00A"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r w:rsidR="00987EBD" w:rsidRPr="00987EBD" w14:paraId="345AC273" w14:textId="77777777" w:rsidTr="00AF400A">
        <w:trPr>
          <w:trHeight w:val="253"/>
        </w:trPr>
        <w:tc>
          <w:tcPr>
            <w:tcW w:w="1743" w:type="dxa"/>
            <w:vMerge/>
            <w:tcBorders>
              <w:top w:val="nil"/>
              <w:left w:val="nil"/>
              <w:bottom w:val="single" w:sz="4" w:space="0" w:color="auto"/>
              <w:right w:val="nil"/>
            </w:tcBorders>
            <w:vAlign w:val="center"/>
          </w:tcPr>
          <w:p w14:paraId="619D551E"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4" w:space="0" w:color="auto"/>
              <w:right w:val="nil"/>
            </w:tcBorders>
            <w:vAlign w:val="center"/>
          </w:tcPr>
          <w:p w14:paraId="6BD737A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48, 65</w:t>
            </w:r>
          </w:p>
        </w:tc>
        <w:tc>
          <w:tcPr>
            <w:tcW w:w="1395" w:type="dxa"/>
            <w:tcBorders>
              <w:top w:val="nil"/>
              <w:left w:val="nil"/>
              <w:bottom w:val="single" w:sz="4" w:space="0" w:color="auto"/>
              <w:right w:val="nil"/>
            </w:tcBorders>
            <w:vAlign w:val="center"/>
          </w:tcPr>
          <w:p w14:paraId="3A7E5CF4"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36.92</w:t>
            </w:r>
          </w:p>
        </w:tc>
        <w:tc>
          <w:tcPr>
            <w:tcW w:w="2077" w:type="dxa"/>
            <w:tcBorders>
              <w:top w:val="nil"/>
              <w:left w:val="nil"/>
              <w:bottom w:val="single" w:sz="4" w:space="0" w:color="auto"/>
              <w:right w:val="nil"/>
            </w:tcBorders>
            <w:vAlign w:val="center"/>
          </w:tcPr>
          <w:p w14:paraId="1CC0D67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nil"/>
              <w:left w:val="nil"/>
              <w:bottom w:val="single" w:sz="4" w:space="0" w:color="auto"/>
              <w:right w:val="nil"/>
            </w:tcBorders>
            <w:vAlign w:val="center"/>
          </w:tcPr>
          <w:p w14:paraId="2CF0FE5B"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r w:rsidR="00987EBD" w:rsidRPr="00987EBD" w14:paraId="795A0448" w14:textId="77777777" w:rsidTr="00AF400A">
        <w:trPr>
          <w:trHeight w:val="253"/>
        </w:trPr>
        <w:tc>
          <w:tcPr>
            <w:tcW w:w="1743" w:type="dxa"/>
            <w:vMerge w:val="restart"/>
            <w:tcBorders>
              <w:top w:val="single" w:sz="4" w:space="0" w:color="auto"/>
              <w:left w:val="nil"/>
              <w:right w:val="nil"/>
            </w:tcBorders>
            <w:vAlign w:val="center"/>
          </w:tcPr>
          <w:p w14:paraId="18E2840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Ah</w:t>
            </w:r>
          </w:p>
          <w:p w14:paraId="44EEE61E"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(careless weed)</w:t>
            </w:r>
          </w:p>
          <w:p w14:paraId="1BFED8E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(17 bands)</w:t>
            </w:r>
          </w:p>
        </w:tc>
        <w:tc>
          <w:tcPr>
            <w:tcW w:w="690" w:type="dxa"/>
            <w:tcBorders>
              <w:top w:val="single" w:sz="4" w:space="0" w:color="auto"/>
              <w:left w:val="nil"/>
              <w:bottom w:val="nil"/>
              <w:right w:val="nil"/>
            </w:tcBorders>
            <w:vAlign w:val="center"/>
          </w:tcPr>
          <w:p w14:paraId="1AD2EA4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63</w:t>
            </w:r>
          </w:p>
        </w:tc>
        <w:tc>
          <w:tcPr>
            <w:tcW w:w="1395" w:type="dxa"/>
            <w:tcBorders>
              <w:top w:val="single" w:sz="4" w:space="0" w:color="auto"/>
              <w:left w:val="nil"/>
              <w:bottom w:val="nil"/>
              <w:right w:val="nil"/>
            </w:tcBorders>
            <w:vAlign w:val="center"/>
          </w:tcPr>
          <w:p w14:paraId="2871BA7F"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23.08</w:t>
            </w:r>
          </w:p>
        </w:tc>
        <w:tc>
          <w:tcPr>
            <w:tcW w:w="2077" w:type="dxa"/>
            <w:tcBorders>
              <w:top w:val="single" w:sz="4" w:space="0" w:color="auto"/>
              <w:left w:val="nil"/>
              <w:bottom w:val="nil"/>
              <w:right w:val="nil"/>
            </w:tcBorders>
            <w:vAlign w:val="center"/>
          </w:tcPr>
          <w:p w14:paraId="2E0C6FC8"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single" w:sz="4" w:space="0" w:color="auto"/>
              <w:left w:val="nil"/>
              <w:bottom w:val="nil"/>
              <w:right w:val="nil"/>
            </w:tcBorders>
            <w:vAlign w:val="center"/>
          </w:tcPr>
          <w:p w14:paraId="2E2916B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r w:rsidR="00987EBD" w:rsidRPr="00987EBD" w14:paraId="29525FF9" w14:textId="77777777" w:rsidTr="00AF400A">
        <w:trPr>
          <w:trHeight w:val="253"/>
        </w:trPr>
        <w:tc>
          <w:tcPr>
            <w:tcW w:w="1743" w:type="dxa"/>
            <w:vMerge/>
            <w:tcBorders>
              <w:left w:val="nil"/>
              <w:right w:val="nil"/>
            </w:tcBorders>
            <w:vAlign w:val="center"/>
          </w:tcPr>
          <w:p w14:paraId="0D634422"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nil"/>
              <w:right w:val="nil"/>
            </w:tcBorders>
            <w:vAlign w:val="center"/>
          </w:tcPr>
          <w:p w14:paraId="34397723"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48</w:t>
            </w:r>
          </w:p>
        </w:tc>
        <w:tc>
          <w:tcPr>
            <w:tcW w:w="1395" w:type="dxa"/>
            <w:tcBorders>
              <w:top w:val="nil"/>
              <w:left w:val="nil"/>
              <w:bottom w:val="nil"/>
              <w:right w:val="nil"/>
            </w:tcBorders>
            <w:vAlign w:val="center"/>
          </w:tcPr>
          <w:p w14:paraId="1B9C48B1"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18.46</w:t>
            </w:r>
          </w:p>
        </w:tc>
        <w:tc>
          <w:tcPr>
            <w:tcW w:w="2077" w:type="dxa"/>
            <w:tcBorders>
              <w:top w:val="nil"/>
              <w:left w:val="nil"/>
              <w:bottom w:val="nil"/>
              <w:right w:val="nil"/>
            </w:tcBorders>
            <w:vAlign w:val="center"/>
          </w:tcPr>
          <w:p w14:paraId="559D7302"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nil"/>
              <w:left w:val="nil"/>
              <w:bottom w:val="nil"/>
              <w:right w:val="nil"/>
            </w:tcBorders>
            <w:vAlign w:val="center"/>
          </w:tcPr>
          <w:p w14:paraId="1452033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r w:rsidR="00987EBD" w:rsidRPr="00987EBD" w14:paraId="0B2AA015" w14:textId="77777777" w:rsidTr="00AF400A">
        <w:trPr>
          <w:trHeight w:val="253"/>
        </w:trPr>
        <w:tc>
          <w:tcPr>
            <w:tcW w:w="1743" w:type="dxa"/>
            <w:vMerge/>
            <w:tcBorders>
              <w:left w:val="nil"/>
              <w:bottom w:val="single" w:sz="12" w:space="0" w:color="auto"/>
              <w:right w:val="nil"/>
            </w:tcBorders>
            <w:vAlign w:val="center"/>
          </w:tcPr>
          <w:p w14:paraId="5838AB1F" w14:textId="77777777" w:rsidR="00987EBD" w:rsidRPr="00987EBD" w:rsidRDefault="00987EBD" w:rsidP="00987EBD">
            <w:pPr>
              <w:jc w:val="center"/>
              <w:rPr>
                <w:rFonts w:ascii="Times New Roman" w:eastAsia="Calibri" w:hAnsi="Times New Roman" w:cs="Times New Roman"/>
                <w:sz w:val="18"/>
                <w:szCs w:val="18"/>
                <w14:ligatures w14:val="none"/>
              </w:rPr>
            </w:pPr>
          </w:p>
        </w:tc>
        <w:tc>
          <w:tcPr>
            <w:tcW w:w="690" w:type="dxa"/>
            <w:tcBorders>
              <w:top w:val="nil"/>
              <w:left w:val="nil"/>
              <w:bottom w:val="single" w:sz="12" w:space="0" w:color="auto"/>
              <w:right w:val="nil"/>
            </w:tcBorders>
            <w:vAlign w:val="center"/>
          </w:tcPr>
          <w:p w14:paraId="1109B209"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40</w:t>
            </w:r>
          </w:p>
        </w:tc>
        <w:tc>
          <w:tcPr>
            <w:tcW w:w="1395" w:type="dxa"/>
            <w:tcBorders>
              <w:top w:val="nil"/>
              <w:left w:val="nil"/>
              <w:bottom w:val="single" w:sz="12" w:space="0" w:color="auto"/>
              <w:right w:val="nil"/>
            </w:tcBorders>
            <w:vAlign w:val="center"/>
          </w:tcPr>
          <w:p w14:paraId="3BFFBAB8"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7.69</w:t>
            </w:r>
          </w:p>
        </w:tc>
        <w:tc>
          <w:tcPr>
            <w:tcW w:w="2077" w:type="dxa"/>
            <w:tcBorders>
              <w:top w:val="nil"/>
              <w:left w:val="nil"/>
              <w:bottom w:val="single" w:sz="12" w:space="0" w:color="auto"/>
              <w:right w:val="nil"/>
            </w:tcBorders>
            <w:vAlign w:val="center"/>
          </w:tcPr>
          <w:p w14:paraId="5CAAE834"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c>
          <w:tcPr>
            <w:tcW w:w="2735" w:type="dxa"/>
            <w:tcBorders>
              <w:top w:val="nil"/>
              <w:left w:val="nil"/>
              <w:bottom w:val="single" w:sz="12" w:space="0" w:color="auto"/>
              <w:right w:val="nil"/>
            </w:tcBorders>
            <w:vAlign w:val="center"/>
          </w:tcPr>
          <w:p w14:paraId="239AF80C" w14:textId="77777777" w:rsidR="00987EBD" w:rsidRPr="00987EBD" w:rsidRDefault="00987EBD" w:rsidP="00987EBD">
            <w:pPr>
              <w:jc w:val="center"/>
              <w:rPr>
                <w:rFonts w:ascii="Times New Roman" w:eastAsia="Calibri" w:hAnsi="Times New Roman" w:cs="Times New Roman"/>
                <w:sz w:val="18"/>
                <w:szCs w:val="18"/>
                <w14:ligatures w14:val="none"/>
              </w:rPr>
            </w:pPr>
            <w:r w:rsidRPr="00987EBD">
              <w:rPr>
                <w:rFonts w:ascii="Times New Roman" w:eastAsia="Calibri" w:hAnsi="Times New Roman" w:cs="Times New Roman"/>
                <w:sz w:val="18"/>
                <w:szCs w:val="18"/>
                <w14:ligatures w14:val="none"/>
              </w:rPr>
              <w:t>n.d.</w:t>
            </w:r>
          </w:p>
        </w:tc>
      </w:tr>
    </w:tbl>
    <w:p w14:paraId="7D4BF02F" w14:textId="77777777" w:rsidR="00987EBD" w:rsidRPr="00987EBD" w:rsidRDefault="00987EBD" w:rsidP="00987EBD">
      <w:pPr>
        <w:spacing w:after="0"/>
        <w:jc w:val="thaiDistribute"/>
        <w:rPr>
          <w:rFonts w:ascii="Times New Roman" w:eastAsia="Calibri" w:hAnsi="Times New Roman" w:cs="Times New Roman"/>
          <w:kern w:val="0"/>
          <w:sz w:val="16"/>
          <w:szCs w:val="16"/>
          <w14:ligatures w14:val="none"/>
        </w:rPr>
      </w:pPr>
      <w:r w:rsidRPr="00987EBD">
        <w:rPr>
          <w:rFonts w:ascii="Times New Roman" w:eastAsia="Calibri" w:hAnsi="Times New Roman" w:cs="Times New Roman"/>
          <w:kern w:val="0"/>
          <w:sz w:val="16"/>
          <w:szCs w:val="16"/>
          <w14:ligatures w14:val="none"/>
        </w:rPr>
        <w:t>* Major allergen (≥ 50% prevalence); n.d. = no data.</w:t>
      </w:r>
    </w:p>
    <w:p w14:paraId="4947FC68" w14:textId="51443A3C" w:rsidR="00DC493D" w:rsidRDefault="00987EBD" w:rsidP="00DC493D">
      <w:pPr>
        <w:spacing w:after="0"/>
        <w:jc w:val="thaiDistribute"/>
        <w:rPr>
          <w:rFonts w:ascii="Times New Roman" w:eastAsia="Calibri" w:hAnsi="Times New Roman" w:cs="Times New Roman"/>
          <w:kern w:val="0"/>
          <w:sz w:val="16"/>
          <w:szCs w:val="16"/>
          <w14:ligatures w14:val="none"/>
        </w:rPr>
      </w:pPr>
      <w:r w:rsidRPr="00987EBD">
        <w:rPr>
          <w:rFonts w:ascii="Times New Roman" w:eastAsia="Calibri" w:hAnsi="Times New Roman" w:cs="Times New Roman"/>
          <w:kern w:val="0"/>
          <w:sz w:val="16"/>
          <w:szCs w:val="16"/>
          <w14:ligatures w14:val="none"/>
        </w:rPr>
        <w:t xml:space="preserve">% Prevalence = (total </w:t>
      </w:r>
      <w:proofErr w:type="gramStart"/>
      <w:r w:rsidRPr="00987EBD">
        <w:rPr>
          <w:rFonts w:ascii="Times New Roman" w:eastAsia="Calibri" w:hAnsi="Times New Roman" w:cs="Times New Roman"/>
          <w:kern w:val="0"/>
          <w:sz w:val="16"/>
          <w:szCs w:val="16"/>
          <w14:ligatures w14:val="none"/>
        </w:rPr>
        <w:t>number</w:t>
      </w:r>
      <w:proofErr w:type="gramEnd"/>
      <w:r w:rsidRPr="00987EBD">
        <w:rPr>
          <w:rFonts w:ascii="Times New Roman" w:eastAsia="Calibri" w:hAnsi="Times New Roman" w:cs="Times New Roman"/>
          <w:kern w:val="0"/>
          <w:sz w:val="16"/>
          <w:szCs w:val="16"/>
          <w14:ligatures w14:val="none"/>
        </w:rPr>
        <w:t xml:space="preserve"> of bands/number of patients) × 100.</w:t>
      </w:r>
      <w:r w:rsidR="00DC493D">
        <w:rPr>
          <w:rFonts w:ascii="Times New Roman" w:eastAsia="Calibri" w:hAnsi="Times New Roman" w:cs="Times New Roman"/>
          <w:kern w:val="0"/>
          <w:sz w:val="16"/>
          <w:szCs w:val="16"/>
          <w14:ligatures w14:val="none"/>
        </w:rPr>
        <w:br w:type="page"/>
      </w:r>
    </w:p>
    <w:p w14:paraId="77309C19" w14:textId="5F97F387" w:rsidR="00987EBD" w:rsidRDefault="00DC493D" w:rsidP="00987EBD">
      <w:pPr>
        <w:spacing w:after="0"/>
        <w:jc w:val="thaiDistribute"/>
        <w:rPr>
          <w:rFonts w:ascii="Times New Roman" w:eastAsia="Calibri" w:hAnsi="Times New Roman" w:cs="Cordia New"/>
          <w:kern w:val="0"/>
          <w:sz w:val="16"/>
          <w:szCs w:val="16"/>
          <w14:ligatures w14:val="none"/>
        </w:rPr>
      </w:pPr>
      <w:r>
        <w:rPr>
          <w:rFonts w:ascii="Times New Roman" w:eastAsia="Calibri" w:hAnsi="Times New Roman" w:cs="Cordia New"/>
          <w:noProof/>
          <w:kern w:val="0"/>
          <w:sz w:val="16"/>
          <w:szCs w:val="16"/>
        </w:rPr>
        <w:lastRenderedPageBreak/>
        <w:drawing>
          <wp:inline distT="0" distB="0" distL="0" distR="0" wp14:anchorId="636664F2" wp14:editId="35230BDB">
            <wp:extent cx="5943600" cy="3141345"/>
            <wp:effectExtent l="0" t="0" r="0" b="1905"/>
            <wp:docPr id="213726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67475" name="Picture 2137267475"/>
                    <pic:cNvPicPr/>
                  </pic:nvPicPr>
                  <pic:blipFill>
                    <a:blip r:embed="rId5"/>
                    <a:stretch>
                      <a:fillRect/>
                    </a:stretch>
                  </pic:blipFill>
                  <pic:spPr>
                    <a:xfrm>
                      <a:off x="0" y="0"/>
                      <a:ext cx="5943600" cy="3141345"/>
                    </a:xfrm>
                    <a:prstGeom prst="rect">
                      <a:avLst/>
                    </a:prstGeom>
                  </pic:spPr>
                </pic:pic>
              </a:graphicData>
            </a:graphic>
          </wp:inline>
        </w:drawing>
      </w:r>
    </w:p>
    <w:p w14:paraId="70652577" w14:textId="77777777" w:rsidR="00DC493D" w:rsidRDefault="00DC493D" w:rsidP="00987EBD">
      <w:pPr>
        <w:spacing w:after="0"/>
        <w:jc w:val="thaiDistribute"/>
        <w:rPr>
          <w:rFonts w:ascii="Times New Roman" w:eastAsia="Calibri" w:hAnsi="Times New Roman" w:cs="Cordia New"/>
          <w:kern w:val="0"/>
          <w:sz w:val="16"/>
          <w:szCs w:val="16"/>
          <w14:ligatures w14:val="none"/>
        </w:rPr>
      </w:pPr>
    </w:p>
    <w:p w14:paraId="0CB27402" w14:textId="22722900" w:rsidR="00DC493D" w:rsidRPr="00DC493D" w:rsidRDefault="00DC493D" w:rsidP="00204DD4">
      <w:pPr>
        <w:spacing w:after="0" w:line="276" w:lineRule="auto"/>
        <w:jc w:val="thaiDistribute"/>
        <w:rPr>
          <w:rFonts w:ascii="Times New Roman" w:eastAsia="Calibri" w:hAnsi="Times New Roman" w:cs="Times New Roman"/>
          <w:kern w:val="0"/>
          <w:sz w:val="16"/>
          <w:szCs w:val="16"/>
          <w14:ligatures w14:val="none"/>
        </w:rPr>
      </w:pPr>
      <w:r>
        <w:rPr>
          <w:rFonts w:ascii="Times New Roman" w:eastAsia="+mn-ea" w:hAnsi="Times New Roman" w:cs="Times New Roman"/>
          <w:b/>
          <w:bCs/>
          <w:color w:val="000000"/>
          <w:kern w:val="24"/>
          <w:sz w:val="24"/>
          <w:szCs w:val="30"/>
          <w14:ligatures w14:val="none"/>
        </w:rPr>
        <w:t>Supplementary Fig</w:t>
      </w:r>
      <w:r w:rsidR="009169AF">
        <w:rPr>
          <w:rFonts w:ascii="Times New Roman" w:eastAsia="+mn-ea" w:hAnsi="Times New Roman" w:cs="Times New Roman"/>
          <w:b/>
          <w:bCs/>
          <w:color w:val="000000"/>
          <w:kern w:val="24"/>
          <w:sz w:val="24"/>
          <w:szCs w:val="30"/>
          <w14:ligatures w14:val="none"/>
        </w:rPr>
        <w:t>.</w:t>
      </w:r>
      <w:r w:rsidR="00596746">
        <w:rPr>
          <w:rFonts w:ascii="Times New Roman" w:eastAsia="+mn-ea" w:hAnsi="Times New Roman" w:cs="Times New Roman"/>
          <w:b/>
          <w:bCs/>
          <w:color w:val="000000"/>
          <w:kern w:val="24"/>
          <w:sz w:val="24"/>
          <w:szCs w:val="30"/>
          <w14:ligatures w14:val="none"/>
        </w:rPr>
        <w:t xml:space="preserve"> </w:t>
      </w:r>
      <w:r>
        <w:rPr>
          <w:rFonts w:ascii="Times New Roman" w:eastAsia="+mn-ea" w:hAnsi="Times New Roman" w:cs="Times New Roman"/>
          <w:b/>
          <w:bCs/>
          <w:color w:val="000000"/>
          <w:kern w:val="24"/>
          <w:sz w:val="24"/>
          <w:szCs w:val="30"/>
          <w14:ligatures w14:val="none"/>
        </w:rPr>
        <w:t>1</w:t>
      </w:r>
      <w:r w:rsidRPr="00DC493D">
        <w:rPr>
          <w:rFonts w:ascii="Times New Roman" w:eastAsia="+mn-ea" w:hAnsi="Times New Roman" w:cs="Times New Roman"/>
          <w:b/>
          <w:bCs/>
          <w:color w:val="000000"/>
          <w:kern w:val="24"/>
          <w:sz w:val="24"/>
          <w:szCs w:val="30"/>
          <w14:ligatures w14:val="none"/>
        </w:rPr>
        <w:t xml:space="preserve"> </w:t>
      </w:r>
      <w:r w:rsidRPr="00DC493D">
        <w:rPr>
          <w:rFonts w:ascii="Times New Roman" w:eastAsia="+mn-ea" w:hAnsi="Times New Roman" w:cs="Times New Roman"/>
          <w:color w:val="000000"/>
          <w:kern w:val="24"/>
          <w:sz w:val="24"/>
          <w:szCs w:val="30"/>
          <w14:ligatures w14:val="none"/>
        </w:rPr>
        <w:t xml:space="preserve">Number of detectable allergen-specific </w:t>
      </w:r>
      <w:proofErr w:type="spellStart"/>
      <w:r w:rsidRPr="00DC493D">
        <w:rPr>
          <w:rFonts w:ascii="Times New Roman" w:eastAsia="+mn-ea" w:hAnsi="Times New Roman" w:cs="Times New Roman"/>
          <w:color w:val="000000"/>
          <w:kern w:val="24"/>
          <w:sz w:val="24"/>
          <w:szCs w:val="30"/>
          <w14:ligatures w14:val="none"/>
        </w:rPr>
        <w:t>IgE</w:t>
      </w:r>
      <w:proofErr w:type="spellEnd"/>
      <w:r w:rsidRPr="00DC493D">
        <w:rPr>
          <w:rFonts w:ascii="Times New Roman" w:eastAsia="+mn-ea" w:hAnsi="Times New Roman" w:cs="Times New Roman"/>
          <w:color w:val="000000"/>
          <w:kern w:val="24"/>
          <w:sz w:val="24"/>
          <w:szCs w:val="30"/>
          <w14:ligatures w14:val="none"/>
        </w:rPr>
        <w:t xml:space="preserve">-reactive bands per patient in immunoblot analysis. Each bar graph represents the number of </w:t>
      </w:r>
      <w:proofErr w:type="spellStart"/>
      <w:r w:rsidRPr="00DC493D">
        <w:rPr>
          <w:rFonts w:ascii="Times New Roman" w:eastAsia="+mn-ea" w:hAnsi="Times New Roman" w:cs="Times New Roman"/>
          <w:color w:val="000000"/>
          <w:kern w:val="24"/>
          <w:sz w:val="24"/>
          <w:szCs w:val="30"/>
          <w14:ligatures w14:val="none"/>
        </w:rPr>
        <w:t>IgE</w:t>
      </w:r>
      <w:proofErr w:type="spellEnd"/>
      <w:r w:rsidRPr="00DC493D">
        <w:rPr>
          <w:rFonts w:ascii="Times New Roman" w:eastAsia="+mn-ea" w:hAnsi="Times New Roman" w:cs="Times New Roman"/>
          <w:color w:val="000000"/>
          <w:kern w:val="24"/>
          <w:sz w:val="24"/>
          <w:szCs w:val="30"/>
          <w14:ligatures w14:val="none"/>
        </w:rPr>
        <w:t xml:space="preserve">-reactive bands detected in the immunoblot assay for an individual AR patient (n = 65). Dashed line represents the overall average number of bands per patient (21.5 bands). The table summarizes number of patients with at least one positive band, average number of </w:t>
      </w:r>
      <w:proofErr w:type="gramStart"/>
      <w:r w:rsidRPr="00DC493D">
        <w:rPr>
          <w:rFonts w:ascii="Times New Roman" w:eastAsia="+mn-ea" w:hAnsi="Times New Roman" w:cs="Times New Roman"/>
          <w:color w:val="000000"/>
          <w:kern w:val="24"/>
          <w:sz w:val="24"/>
          <w:szCs w:val="30"/>
          <w14:ligatures w14:val="none"/>
        </w:rPr>
        <w:t>bands/patient</w:t>
      </w:r>
      <w:proofErr w:type="gramEnd"/>
      <w:r w:rsidRPr="00DC493D">
        <w:rPr>
          <w:rFonts w:ascii="Times New Roman" w:eastAsia="+mn-ea" w:hAnsi="Times New Roman" w:cs="Times New Roman"/>
          <w:color w:val="000000"/>
          <w:kern w:val="24"/>
          <w:sz w:val="24"/>
          <w:szCs w:val="30"/>
          <w14:ligatures w14:val="none"/>
        </w:rPr>
        <w:t>, median of number of bands/patient, highest number of bands/patient, and number of bands at 25</w:t>
      </w:r>
      <w:r w:rsidRPr="00DC493D">
        <w:rPr>
          <w:rFonts w:ascii="Times New Roman" w:eastAsia="+mn-ea" w:hAnsi="Times New Roman" w:cs="Times New Roman"/>
          <w:color w:val="000000"/>
          <w:kern w:val="24"/>
          <w:sz w:val="24"/>
          <w:szCs w:val="30"/>
          <w:vertAlign w:val="superscript"/>
          <w14:ligatures w14:val="none"/>
        </w:rPr>
        <w:t>th</w:t>
      </w:r>
      <w:r w:rsidRPr="00DC493D">
        <w:rPr>
          <w:rFonts w:ascii="Times New Roman" w:eastAsia="+mn-ea" w:hAnsi="Times New Roman" w:cs="Times New Roman"/>
          <w:color w:val="000000"/>
          <w:kern w:val="24"/>
          <w:sz w:val="24"/>
          <w:szCs w:val="30"/>
          <w14:ligatures w14:val="none"/>
        </w:rPr>
        <w:t>, 50</w:t>
      </w:r>
      <w:r w:rsidRPr="00DC493D">
        <w:rPr>
          <w:rFonts w:ascii="Times New Roman" w:eastAsia="+mn-ea" w:hAnsi="Times New Roman" w:cs="Times New Roman"/>
          <w:color w:val="000000"/>
          <w:kern w:val="24"/>
          <w:sz w:val="24"/>
          <w:szCs w:val="30"/>
          <w:vertAlign w:val="superscript"/>
          <w14:ligatures w14:val="none"/>
        </w:rPr>
        <w:t>th</w:t>
      </w:r>
      <w:r w:rsidRPr="00DC493D">
        <w:rPr>
          <w:rFonts w:ascii="Times New Roman" w:eastAsia="+mn-ea" w:hAnsi="Times New Roman" w:cs="Times New Roman"/>
          <w:color w:val="000000"/>
          <w:kern w:val="24"/>
          <w:sz w:val="24"/>
          <w:szCs w:val="30"/>
          <w14:ligatures w14:val="none"/>
        </w:rPr>
        <w:t>, and 75</w:t>
      </w:r>
      <w:r w:rsidRPr="00DC493D">
        <w:rPr>
          <w:rFonts w:ascii="Times New Roman" w:eastAsia="+mn-ea" w:hAnsi="Times New Roman" w:cs="Times New Roman"/>
          <w:color w:val="000000"/>
          <w:kern w:val="24"/>
          <w:sz w:val="24"/>
          <w:szCs w:val="30"/>
          <w:vertAlign w:val="superscript"/>
          <w14:ligatures w14:val="none"/>
        </w:rPr>
        <w:t>th</w:t>
      </w:r>
      <w:r w:rsidRPr="00DC493D">
        <w:rPr>
          <w:rFonts w:ascii="Times New Roman" w:eastAsia="+mn-ea" w:hAnsi="Times New Roman" w:cs="Times New Roman"/>
          <w:color w:val="000000"/>
          <w:kern w:val="24"/>
          <w:sz w:val="24"/>
          <w:szCs w:val="30"/>
          <w14:ligatures w14:val="none"/>
        </w:rPr>
        <w:t xml:space="preserve"> percentile. </w:t>
      </w:r>
      <w:r w:rsidRPr="00DC493D">
        <w:rPr>
          <w:rFonts w:ascii="Times New Roman" w:eastAsia="+mn-ea" w:hAnsi="Times New Roman" w:cs="Times New Roman"/>
          <w:kern w:val="24"/>
          <w:sz w:val="24"/>
          <w:szCs w:val="30"/>
          <w14:ligatures w14:val="none"/>
        </w:rPr>
        <w:t xml:space="preserve">Grasses: Cd - </w:t>
      </w:r>
      <w:proofErr w:type="spellStart"/>
      <w:r w:rsidRPr="00DC493D">
        <w:rPr>
          <w:rFonts w:ascii="Times New Roman" w:eastAsia="+mn-ea" w:hAnsi="Times New Roman" w:cs="Times New Roman"/>
          <w:i/>
          <w:iCs/>
          <w:kern w:val="24"/>
          <w:sz w:val="24"/>
          <w:szCs w:val="30"/>
          <w14:ligatures w14:val="none"/>
        </w:rPr>
        <w:t>Cynodon</w:t>
      </w:r>
      <w:proofErr w:type="spellEnd"/>
      <w:r w:rsidRPr="00DC493D">
        <w:rPr>
          <w:rFonts w:ascii="Times New Roman" w:eastAsia="+mn-ea" w:hAnsi="Times New Roman" w:cs="Times New Roman"/>
          <w:i/>
          <w:iCs/>
          <w:kern w:val="24"/>
          <w:sz w:val="24"/>
          <w:szCs w:val="30"/>
          <w14:ligatures w14:val="none"/>
        </w:rPr>
        <w:t xml:space="preserve"> </w:t>
      </w:r>
      <w:proofErr w:type="spellStart"/>
      <w:r w:rsidRPr="00DC493D">
        <w:rPr>
          <w:rFonts w:ascii="Times New Roman" w:eastAsia="+mn-ea" w:hAnsi="Times New Roman" w:cs="Times New Roman"/>
          <w:i/>
          <w:iCs/>
          <w:kern w:val="24"/>
          <w:sz w:val="24"/>
          <w:szCs w:val="30"/>
          <w14:ligatures w14:val="none"/>
        </w:rPr>
        <w:t>dactylon</w:t>
      </w:r>
      <w:proofErr w:type="spellEnd"/>
      <w:r w:rsidRPr="00DC493D">
        <w:rPr>
          <w:rFonts w:ascii="Times New Roman" w:eastAsia="+mn-ea" w:hAnsi="Times New Roman" w:cs="Times New Roman"/>
          <w:kern w:val="24"/>
          <w:sz w:val="24"/>
          <w:szCs w:val="30"/>
          <w14:ligatures w14:val="none"/>
        </w:rPr>
        <w:t xml:space="preserve"> (Bermuda grass), Um - </w:t>
      </w:r>
      <w:proofErr w:type="spellStart"/>
      <w:r w:rsidRPr="00DC493D">
        <w:rPr>
          <w:rFonts w:ascii="Times New Roman" w:eastAsia="+mn-ea" w:hAnsi="Times New Roman" w:cs="Times New Roman"/>
          <w:i/>
          <w:iCs/>
          <w:kern w:val="24"/>
          <w:sz w:val="24"/>
          <w:szCs w:val="30"/>
          <w14:ligatures w14:val="none"/>
        </w:rPr>
        <w:t>Urochloa</w:t>
      </w:r>
      <w:proofErr w:type="spellEnd"/>
      <w:r w:rsidRPr="00DC493D">
        <w:rPr>
          <w:rFonts w:ascii="Times New Roman" w:eastAsia="+mn-ea" w:hAnsi="Times New Roman" w:cs="Times New Roman"/>
          <w:i/>
          <w:iCs/>
          <w:kern w:val="24"/>
          <w:sz w:val="24"/>
          <w:szCs w:val="30"/>
          <w14:ligatures w14:val="none"/>
        </w:rPr>
        <w:t xml:space="preserve"> mutica </w:t>
      </w:r>
      <w:r w:rsidRPr="00DC493D">
        <w:rPr>
          <w:rFonts w:ascii="Times New Roman" w:eastAsia="+mn-ea" w:hAnsi="Times New Roman" w:cs="Times New Roman"/>
          <w:kern w:val="24"/>
          <w:sz w:val="24"/>
          <w:szCs w:val="30"/>
          <w14:ligatures w14:val="none"/>
        </w:rPr>
        <w:t xml:space="preserve">(para grass), </w:t>
      </w:r>
      <w:proofErr w:type="spellStart"/>
      <w:r w:rsidRPr="00DC493D">
        <w:rPr>
          <w:rFonts w:ascii="Times New Roman" w:eastAsia="+mn-ea" w:hAnsi="Times New Roman" w:cs="Times New Roman"/>
          <w:kern w:val="24"/>
          <w:sz w:val="24"/>
          <w:szCs w:val="30"/>
          <w14:ligatures w14:val="none"/>
        </w:rPr>
        <w:t>Sh</w:t>
      </w:r>
      <w:proofErr w:type="spellEnd"/>
      <w:r w:rsidRPr="00DC493D">
        <w:rPr>
          <w:rFonts w:ascii="Times New Roman" w:eastAsia="+mn-ea" w:hAnsi="Times New Roman" w:cs="Times New Roman"/>
          <w:kern w:val="24"/>
          <w:sz w:val="24"/>
          <w:szCs w:val="30"/>
          <w14:ligatures w14:val="none"/>
        </w:rPr>
        <w:t xml:space="preserve"> - </w:t>
      </w:r>
      <w:r w:rsidRPr="00DC493D">
        <w:rPr>
          <w:rFonts w:ascii="Times New Roman" w:eastAsia="+mn-ea" w:hAnsi="Times New Roman" w:cs="Times New Roman"/>
          <w:i/>
          <w:iCs/>
          <w:kern w:val="24"/>
          <w:sz w:val="24"/>
          <w:szCs w:val="30"/>
          <w14:ligatures w14:val="none"/>
        </w:rPr>
        <w:t xml:space="preserve">Sorghum </w:t>
      </w:r>
      <w:proofErr w:type="spellStart"/>
      <w:r w:rsidRPr="00DC493D">
        <w:rPr>
          <w:rFonts w:ascii="Times New Roman" w:eastAsia="+mn-ea" w:hAnsi="Times New Roman" w:cs="Times New Roman"/>
          <w:i/>
          <w:iCs/>
          <w:kern w:val="24"/>
          <w:sz w:val="24"/>
          <w:szCs w:val="30"/>
          <w14:ligatures w14:val="none"/>
        </w:rPr>
        <w:t>halepense</w:t>
      </w:r>
      <w:proofErr w:type="spellEnd"/>
      <w:r w:rsidRPr="00DC493D">
        <w:rPr>
          <w:rFonts w:ascii="Times New Roman" w:eastAsia="+mn-ea" w:hAnsi="Times New Roman" w:cs="Times New Roman"/>
          <w:i/>
          <w:iCs/>
          <w:kern w:val="24"/>
          <w:sz w:val="24"/>
          <w:szCs w:val="30"/>
          <w14:ligatures w14:val="none"/>
        </w:rPr>
        <w:t xml:space="preserve"> </w:t>
      </w:r>
      <w:r w:rsidRPr="00DC493D">
        <w:rPr>
          <w:rFonts w:ascii="Times New Roman" w:eastAsia="+mn-ea" w:hAnsi="Times New Roman" w:cs="Times New Roman"/>
          <w:kern w:val="24"/>
          <w:sz w:val="24"/>
          <w:szCs w:val="30"/>
          <w14:ligatures w14:val="none"/>
        </w:rPr>
        <w:t xml:space="preserve">(Johnson grass), </w:t>
      </w:r>
      <w:proofErr w:type="spellStart"/>
      <w:r w:rsidRPr="00DC493D">
        <w:rPr>
          <w:rFonts w:ascii="Times New Roman" w:eastAsia="+mn-ea" w:hAnsi="Times New Roman" w:cs="Times New Roman"/>
          <w:kern w:val="24"/>
          <w:sz w:val="24"/>
          <w:szCs w:val="30"/>
          <w14:ligatures w14:val="none"/>
        </w:rPr>
        <w:t>Zm</w:t>
      </w:r>
      <w:proofErr w:type="spellEnd"/>
      <w:r w:rsidRPr="00DC493D">
        <w:rPr>
          <w:rFonts w:ascii="Times New Roman" w:eastAsia="+mn-ea" w:hAnsi="Times New Roman" w:cs="Times New Roman"/>
          <w:kern w:val="24"/>
          <w:sz w:val="24"/>
          <w:szCs w:val="30"/>
          <w14:ligatures w14:val="none"/>
        </w:rPr>
        <w:t xml:space="preserve"> - </w:t>
      </w:r>
      <w:r w:rsidRPr="00DC493D">
        <w:rPr>
          <w:rFonts w:ascii="Times New Roman" w:eastAsia="+mn-ea" w:hAnsi="Times New Roman" w:cs="Times New Roman"/>
          <w:i/>
          <w:iCs/>
          <w:kern w:val="24"/>
          <w:sz w:val="24"/>
          <w:szCs w:val="30"/>
          <w14:ligatures w14:val="none"/>
        </w:rPr>
        <w:t xml:space="preserve">Zoysia </w:t>
      </w:r>
      <w:proofErr w:type="spellStart"/>
      <w:r w:rsidRPr="00DC493D">
        <w:rPr>
          <w:rFonts w:ascii="Times New Roman" w:eastAsia="+mn-ea" w:hAnsi="Times New Roman" w:cs="Times New Roman"/>
          <w:i/>
          <w:iCs/>
          <w:kern w:val="24"/>
          <w:sz w:val="24"/>
          <w:szCs w:val="30"/>
          <w14:ligatures w14:val="none"/>
        </w:rPr>
        <w:t>matrella</w:t>
      </w:r>
      <w:proofErr w:type="spellEnd"/>
      <w:r w:rsidRPr="00DC493D">
        <w:rPr>
          <w:rFonts w:ascii="Times New Roman" w:eastAsia="+mn-ea" w:hAnsi="Times New Roman" w:cs="Times New Roman"/>
          <w:kern w:val="24"/>
          <w:sz w:val="24"/>
          <w:szCs w:val="30"/>
          <w14:ligatures w14:val="none"/>
        </w:rPr>
        <w:t xml:space="preserve"> (Manila grass). Weeds: Cm - </w:t>
      </w:r>
      <w:r w:rsidRPr="00DC493D">
        <w:rPr>
          <w:rFonts w:ascii="Times New Roman" w:eastAsia="+mn-ea" w:hAnsi="Times New Roman" w:cs="Times New Roman"/>
          <w:i/>
          <w:iCs/>
          <w:kern w:val="24"/>
          <w:sz w:val="24"/>
          <w:szCs w:val="30"/>
          <w14:ligatures w14:val="none"/>
        </w:rPr>
        <w:t xml:space="preserve">Cyperus mitis </w:t>
      </w:r>
      <w:r w:rsidRPr="00DC493D">
        <w:rPr>
          <w:rFonts w:ascii="Times New Roman" w:eastAsia="+mn-ea" w:hAnsi="Times New Roman" w:cs="Times New Roman"/>
          <w:kern w:val="24"/>
          <w:sz w:val="24"/>
          <w:szCs w:val="30"/>
          <w14:ligatures w14:val="none"/>
        </w:rPr>
        <w:t xml:space="preserve">(nutsedge), Ah - </w:t>
      </w:r>
      <w:r w:rsidRPr="00DC493D">
        <w:rPr>
          <w:rFonts w:ascii="Times New Roman" w:eastAsia="+mn-ea" w:hAnsi="Times New Roman" w:cs="Times New Roman"/>
          <w:i/>
          <w:iCs/>
          <w:kern w:val="24"/>
          <w:sz w:val="24"/>
          <w:szCs w:val="30"/>
          <w14:ligatures w14:val="none"/>
        </w:rPr>
        <w:t xml:space="preserve">Amaranthus hybridus </w:t>
      </w:r>
      <w:r w:rsidRPr="00DC493D">
        <w:rPr>
          <w:rFonts w:ascii="Times New Roman" w:eastAsia="+mn-ea" w:hAnsi="Times New Roman" w:cs="Times New Roman"/>
          <w:kern w:val="24"/>
          <w:sz w:val="24"/>
          <w:szCs w:val="30"/>
          <w14:ligatures w14:val="none"/>
        </w:rPr>
        <w:t>(careless weed).</w:t>
      </w:r>
    </w:p>
    <w:sectPr w:rsidR="00DC493D" w:rsidRPr="00DC49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n-e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DC"/>
    <w:rsid w:val="000C3374"/>
    <w:rsid w:val="000F4BF3"/>
    <w:rsid w:val="00204CCE"/>
    <w:rsid w:val="00204DD4"/>
    <w:rsid w:val="00253543"/>
    <w:rsid w:val="00286372"/>
    <w:rsid w:val="0034089F"/>
    <w:rsid w:val="0051558D"/>
    <w:rsid w:val="00596746"/>
    <w:rsid w:val="00804869"/>
    <w:rsid w:val="00870FDC"/>
    <w:rsid w:val="008D0AEB"/>
    <w:rsid w:val="009169AF"/>
    <w:rsid w:val="00987EBD"/>
    <w:rsid w:val="00AF400A"/>
    <w:rsid w:val="00B13551"/>
    <w:rsid w:val="00B16F3E"/>
    <w:rsid w:val="00DC493D"/>
    <w:rsid w:val="00E5196A"/>
    <w:rsid w:val="00EF1153"/>
    <w:rsid w:val="00F11C7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519B33"/>
  <w14:defaultImageDpi w14:val="32767"/>
  <w15:chartTrackingRefBased/>
  <w15:docId w15:val="{ACA3F033-6CFF-4AD1-8F5D-E4E8F1B0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FDC"/>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870FDC"/>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870FDC"/>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870F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0F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0F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F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F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F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FD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870FD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870FD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870F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0F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0F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F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F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FDC"/>
    <w:rPr>
      <w:rFonts w:eastAsiaTheme="majorEastAsia" w:cstheme="majorBidi"/>
      <w:color w:val="272727" w:themeColor="text1" w:themeTint="D8"/>
    </w:rPr>
  </w:style>
  <w:style w:type="paragraph" w:styleId="Title">
    <w:name w:val="Title"/>
    <w:basedOn w:val="Normal"/>
    <w:next w:val="Normal"/>
    <w:link w:val="TitleChar"/>
    <w:uiPriority w:val="10"/>
    <w:qFormat/>
    <w:rsid w:val="00870FD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870FD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870FD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870FD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870FDC"/>
    <w:pPr>
      <w:spacing w:before="160"/>
      <w:jc w:val="center"/>
    </w:pPr>
    <w:rPr>
      <w:i/>
      <w:iCs/>
      <w:color w:val="404040" w:themeColor="text1" w:themeTint="BF"/>
    </w:rPr>
  </w:style>
  <w:style w:type="character" w:customStyle="1" w:styleId="QuoteChar">
    <w:name w:val="Quote Char"/>
    <w:basedOn w:val="DefaultParagraphFont"/>
    <w:link w:val="Quote"/>
    <w:uiPriority w:val="29"/>
    <w:rsid w:val="00870FDC"/>
    <w:rPr>
      <w:i/>
      <w:iCs/>
      <w:color w:val="404040" w:themeColor="text1" w:themeTint="BF"/>
    </w:rPr>
  </w:style>
  <w:style w:type="paragraph" w:styleId="ListParagraph">
    <w:name w:val="List Paragraph"/>
    <w:basedOn w:val="Normal"/>
    <w:uiPriority w:val="34"/>
    <w:qFormat/>
    <w:rsid w:val="00870FDC"/>
    <w:pPr>
      <w:ind w:left="720"/>
      <w:contextualSpacing/>
    </w:pPr>
  </w:style>
  <w:style w:type="character" w:styleId="IntenseEmphasis">
    <w:name w:val="Intense Emphasis"/>
    <w:basedOn w:val="DefaultParagraphFont"/>
    <w:uiPriority w:val="21"/>
    <w:qFormat/>
    <w:rsid w:val="00870FDC"/>
    <w:rPr>
      <w:i/>
      <w:iCs/>
      <w:color w:val="2F5496" w:themeColor="accent1" w:themeShade="BF"/>
    </w:rPr>
  </w:style>
  <w:style w:type="paragraph" w:styleId="IntenseQuote">
    <w:name w:val="Intense Quote"/>
    <w:basedOn w:val="Normal"/>
    <w:next w:val="Normal"/>
    <w:link w:val="IntenseQuoteChar"/>
    <w:uiPriority w:val="30"/>
    <w:qFormat/>
    <w:rsid w:val="00870F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0FDC"/>
    <w:rPr>
      <w:i/>
      <w:iCs/>
      <w:color w:val="2F5496" w:themeColor="accent1" w:themeShade="BF"/>
    </w:rPr>
  </w:style>
  <w:style w:type="character" w:styleId="IntenseReference">
    <w:name w:val="Intense Reference"/>
    <w:basedOn w:val="DefaultParagraphFont"/>
    <w:uiPriority w:val="32"/>
    <w:qFormat/>
    <w:rsid w:val="00870FDC"/>
    <w:rPr>
      <w:b/>
      <w:bCs/>
      <w:smallCaps/>
      <w:color w:val="2F5496" w:themeColor="accent1" w:themeShade="BF"/>
      <w:spacing w:val="5"/>
    </w:rPr>
  </w:style>
  <w:style w:type="table" w:styleId="TableGrid">
    <w:name w:val="Table Grid"/>
    <w:basedOn w:val="TableNormal"/>
    <w:uiPriority w:val="39"/>
    <w:rsid w:val="00987EB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38CA3-D422-024C-A6C8-2F969FF0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SIRIRAT AUD-IN</dc:creator>
  <cp:keywords/>
  <dc:description/>
  <cp:lastModifiedBy>Sirirat Aud-in</cp:lastModifiedBy>
  <cp:revision>10</cp:revision>
  <dcterms:created xsi:type="dcterms:W3CDTF">2024-08-29T07:48:00Z</dcterms:created>
  <dcterms:modified xsi:type="dcterms:W3CDTF">2025-04-09T07:45:00Z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http://www.zotero.org/styles/jama</vt:lpwstr>
  </property>
  <property fmtid="{D5CDD505-2E9C-101B-9397-08002B2CF9AE}" pid="24" name="Mendeley Unique User Id_1">
    <vt:lpwstr>a6f9267a-08d4-3230-bffe-56cd89191b9c</vt:lpwstr>
  </property>
</Properties>
</file>