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AAE8A" w14:textId="77777777" w:rsidR="000C0E1C" w:rsidRPr="000C0E1C" w:rsidRDefault="004F3C9E" w:rsidP="004F3C9E">
      <w:pPr>
        <w:spacing w:line="480" w:lineRule="auto"/>
        <w:rPr>
          <w:rStyle w:val="Titre1Car"/>
          <w:rFonts w:ascii="Times New Roman" w:eastAsia="Microsoft YaHei" w:hAnsi="Times New Roman"/>
          <w:b w:val="0"/>
          <w:bCs w:val="0"/>
          <w:sz w:val="24"/>
          <w:szCs w:val="24"/>
        </w:rPr>
      </w:pPr>
      <w:r w:rsidRPr="000C0E1C">
        <w:rPr>
          <w:rStyle w:val="Titre1Car"/>
          <w:rFonts w:ascii="Times New Roman" w:eastAsia="Microsoft YaHei" w:hAnsi="Times New Roman"/>
          <w:sz w:val="24"/>
          <w:szCs w:val="24"/>
        </w:rPr>
        <w:t xml:space="preserve">Table S1. </w:t>
      </w:r>
      <w:r w:rsidRPr="000C0E1C">
        <w:rPr>
          <w:rStyle w:val="Titre1Car"/>
          <w:rFonts w:ascii="Times New Roman" w:eastAsia="Microsoft YaHei" w:hAnsi="Times New Roman"/>
          <w:b w:val="0"/>
          <w:bCs w:val="0"/>
          <w:sz w:val="24"/>
          <w:szCs w:val="24"/>
        </w:rPr>
        <w:t>Knowledge dimension of the participants</w:t>
      </w:r>
    </w:p>
    <w:tbl>
      <w:tblPr>
        <w:tblpPr w:leftFromText="180" w:rightFromText="180" w:vertAnchor="text" w:horzAnchor="page" w:tblpXSpec="center" w:tblpY="165"/>
        <w:tblOverlap w:val="never"/>
        <w:tblW w:w="5000" w:type="pct"/>
        <w:tblBorders>
          <w:top w:val="single" w:sz="4" w:space="0" w:color="auto"/>
          <w:bottom w:val="single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9887"/>
        <w:gridCol w:w="1357"/>
        <w:gridCol w:w="1357"/>
        <w:gridCol w:w="1357"/>
      </w:tblGrid>
      <w:tr w:rsidR="000C0E1C" w:rsidRPr="000C0E1C" w14:paraId="054906AB" w14:textId="77777777" w:rsidTr="00662856">
        <w:trPr>
          <w:trHeight w:val="145"/>
        </w:trPr>
        <w:tc>
          <w:tcPr>
            <w:tcW w:w="35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56A8FE" w14:textId="77777777" w:rsidR="000C0E1C" w:rsidRPr="00662856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9DEF57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Correct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F3B8FD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Mistake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CC0B0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Unsure</w:t>
            </w:r>
          </w:p>
        </w:tc>
      </w:tr>
      <w:tr w:rsidR="000C0E1C" w:rsidRPr="000C0E1C" w14:paraId="50F12183" w14:textId="77777777" w:rsidTr="00662856">
        <w:trPr>
          <w:trHeight w:val="145"/>
        </w:trPr>
        <w:tc>
          <w:tcPr>
            <w:tcW w:w="3542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D9182CB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bCs/>
                <w:sz w:val="24"/>
                <w:szCs w:val="24"/>
              </w:rPr>
              <w:t>1. The primary treatments for ovarian cancer include surgery and platinum-based chemotherapy regimens.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2539A30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281 (54.5)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C4EE141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62 (12.0)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9244ED6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173 (33.5)</w:t>
            </w:r>
          </w:p>
        </w:tc>
      </w:tr>
      <w:tr w:rsidR="000C0E1C" w:rsidRPr="000C0E1C" w14:paraId="562D3C10" w14:textId="77777777" w:rsidTr="00662856">
        <w:trPr>
          <w:trHeight w:val="284"/>
        </w:trPr>
        <w:tc>
          <w:tcPr>
            <w:tcW w:w="354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D9F7A27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bCs/>
                <w:sz w:val="24"/>
                <w:szCs w:val="24"/>
              </w:rPr>
              <w:t>2. Myelosuppression is the most common hematologic toxicity induced by chemotherapy drugs.</w:t>
            </w:r>
          </w:p>
        </w:tc>
        <w:tc>
          <w:tcPr>
            <w:tcW w:w="4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A1E02A8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293 (56.8)</w:t>
            </w:r>
          </w:p>
        </w:tc>
        <w:tc>
          <w:tcPr>
            <w:tcW w:w="4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C58D4B9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67 (13.0)</w:t>
            </w:r>
          </w:p>
        </w:tc>
        <w:tc>
          <w:tcPr>
            <w:tcW w:w="4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E5BA6A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156 (30.2)</w:t>
            </w:r>
          </w:p>
        </w:tc>
      </w:tr>
      <w:tr w:rsidR="000C0E1C" w:rsidRPr="000C0E1C" w14:paraId="42DD143A" w14:textId="77777777" w:rsidTr="00662856">
        <w:trPr>
          <w:trHeight w:val="284"/>
        </w:trPr>
        <w:tc>
          <w:tcPr>
            <w:tcW w:w="354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661D90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bCs/>
                <w:sz w:val="24"/>
                <w:szCs w:val="24"/>
              </w:rPr>
              <w:t>3. Manifestations of myelosuppression include decreased neutrophils, reduced platelets, and lowered hemoglobin levels (anemia).</w:t>
            </w:r>
          </w:p>
        </w:tc>
        <w:tc>
          <w:tcPr>
            <w:tcW w:w="4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888D86F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271 (52.5)</w:t>
            </w:r>
          </w:p>
        </w:tc>
        <w:tc>
          <w:tcPr>
            <w:tcW w:w="4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4E3D9DE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74 (14.3)</w:t>
            </w:r>
          </w:p>
        </w:tc>
        <w:tc>
          <w:tcPr>
            <w:tcW w:w="4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429CE53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171 (33.1)</w:t>
            </w:r>
          </w:p>
        </w:tc>
      </w:tr>
      <w:tr w:rsidR="000C0E1C" w:rsidRPr="000C0E1C" w14:paraId="7D7E12D7" w14:textId="77777777" w:rsidTr="00662856">
        <w:trPr>
          <w:trHeight w:val="145"/>
        </w:trPr>
        <w:tc>
          <w:tcPr>
            <w:tcW w:w="354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65DD940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bCs/>
                <w:sz w:val="24"/>
                <w:szCs w:val="24"/>
              </w:rPr>
              <w:t>4. Neutropenia is the major adverse event caused by myelosuppressive chemotherapy drugs.</w:t>
            </w:r>
          </w:p>
        </w:tc>
        <w:tc>
          <w:tcPr>
            <w:tcW w:w="4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9644078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276 (53.5)</w:t>
            </w:r>
          </w:p>
        </w:tc>
        <w:tc>
          <w:tcPr>
            <w:tcW w:w="4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0A1BBB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78 (15.1)</w:t>
            </w:r>
          </w:p>
        </w:tc>
        <w:tc>
          <w:tcPr>
            <w:tcW w:w="4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CD68A21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162 (31.4)</w:t>
            </w:r>
          </w:p>
        </w:tc>
      </w:tr>
      <w:tr w:rsidR="000C0E1C" w:rsidRPr="000C0E1C" w14:paraId="3EF315B3" w14:textId="77777777" w:rsidTr="00662856">
        <w:trPr>
          <w:trHeight w:val="145"/>
        </w:trPr>
        <w:tc>
          <w:tcPr>
            <w:tcW w:w="354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8A5AFE0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bCs/>
                <w:sz w:val="24"/>
                <w:szCs w:val="24"/>
              </w:rPr>
              <w:t>5. Febrile neutropenia (FN) is the most severe clinical complication.</w:t>
            </w:r>
          </w:p>
        </w:tc>
        <w:tc>
          <w:tcPr>
            <w:tcW w:w="4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7590243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236 (45.7)</w:t>
            </w:r>
          </w:p>
        </w:tc>
        <w:tc>
          <w:tcPr>
            <w:tcW w:w="4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CB88EAB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115 (22.3)</w:t>
            </w:r>
          </w:p>
        </w:tc>
        <w:tc>
          <w:tcPr>
            <w:tcW w:w="4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F461726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165 (32.0)</w:t>
            </w:r>
          </w:p>
        </w:tc>
      </w:tr>
      <w:tr w:rsidR="000C0E1C" w:rsidRPr="000C0E1C" w14:paraId="503FA05F" w14:textId="77777777" w:rsidTr="00662856">
        <w:trPr>
          <w:trHeight w:val="284"/>
        </w:trPr>
        <w:tc>
          <w:tcPr>
            <w:tcW w:w="354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E94487A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bCs/>
                <w:sz w:val="24"/>
                <w:szCs w:val="24"/>
              </w:rPr>
              <w:t>6. Medications that frequently induce neutropenia can also lead to the occurrence of anemia, especially platinum-based drugs, after multiple chemotherapy sessions.</w:t>
            </w:r>
          </w:p>
        </w:tc>
        <w:tc>
          <w:tcPr>
            <w:tcW w:w="4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9AD18A1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260 (50.4)</w:t>
            </w:r>
          </w:p>
        </w:tc>
        <w:tc>
          <w:tcPr>
            <w:tcW w:w="4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096CE0D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90 (17.4)</w:t>
            </w:r>
          </w:p>
        </w:tc>
        <w:tc>
          <w:tcPr>
            <w:tcW w:w="4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6BA257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166 (32.2)</w:t>
            </w:r>
          </w:p>
        </w:tc>
      </w:tr>
      <w:tr w:rsidR="000C0E1C" w:rsidRPr="000C0E1C" w14:paraId="71FCA7D8" w14:textId="77777777" w:rsidTr="00662856">
        <w:trPr>
          <w:trHeight w:val="284"/>
        </w:trPr>
        <w:tc>
          <w:tcPr>
            <w:tcW w:w="354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F84244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bCs/>
                <w:sz w:val="24"/>
                <w:szCs w:val="24"/>
              </w:rPr>
              <w:t>7. Besides medications, patient-related factors and the overall health status of the disease are crucial risk factors for inducing myelosuppression.</w:t>
            </w:r>
          </w:p>
        </w:tc>
        <w:tc>
          <w:tcPr>
            <w:tcW w:w="4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612F7CE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303 (58.7)</w:t>
            </w:r>
          </w:p>
        </w:tc>
        <w:tc>
          <w:tcPr>
            <w:tcW w:w="4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0B97028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67 (13.0)</w:t>
            </w:r>
          </w:p>
        </w:tc>
        <w:tc>
          <w:tcPr>
            <w:tcW w:w="4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106B99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146 (28.3)</w:t>
            </w:r>
          </w:p>
        </w:tc>
      </w:tr>
      <w:tr w:rsidR="000C0E1C" w:rsidRPr="000C0E1C" w14:paraId="5AC49E7D" w14:textId="77777777" w:rsidTr="00662856">
        <w:trPr>
          <w:trHeight w:val="145"/>
        </w:trPr>
        <w:tc>
          <w:tcPr>
            <w:tcW w:w="354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4BFEC74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bCs/>
                <w:sz w:val="24"/>
                <w:szCs w:val="24"/>
              </w:rPr>
              <w:t xml:space="preserve">8. Before initiating the first chemotherapy cycle, a risk assessment for febrile neutropenia (FN) </w:t>
            </w:r>
            <w:r w:rsidRPr="000C0E1C">
              <w:rPr>
                <w:bCs/>
                <w:sz w:val="24"/>
                <w:szCs w:val="24"/>
              </w:rPr>
              <w:lastRenderedPageBreak/>
              <w:t>should be conducted.</w:t>
            </w:r>
          </w:p>
        </w:tc>
        <w:tc>
          <w:tcPr>
            <w:tcW w:w="4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1DECFAB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lastRenderedPageBreak/>
              <w:t>279 (54.1)</w:t>
            </w:r>
          </w:p>
        </w:tc>
        <w:tc>
          <w:tcPr>
            <w:tcW w:w="4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BD1AF6E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74 (14.3)</w:t>
            </w:r>
          </w:p>
        </w:tc>
        <w:tc>
          <w:tcPr>
            <w:tcW w:w="4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64406C5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163 (31.6)</w:t>
            </w:r>
          </w:p>
        </w:tc>
      </w:tr>
      <w:tr w:rsidR="000C0E1C" w:rsidRPr="000C0E1C" w14:paraId="3CEED4F4" w14:textId="77777777" w:rsidTr="00662856">
        <w:trPr>
          <w:trHeight w:val="145"/>
        </w:trPr>
        <w:tc>
          <w:tcPr>
            <w:tcW w:w="354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40102F8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bCs/>
                <w:sz w:val="24"/>
                <w:szCs w:val="24"/>
              </w:rPr>
              <w:t>9. Primary prevention involves the prophylactic use of G-CSF within 24 hours after the first administration of chemotherapy drugs for patients anticipated to experience severe neutropenia.</w:t>
            </w:r>
          </w:p>
        </w:tc>
        <w:tc>
          <w:tcPr>
            <w:tcW w:w="4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5DBAA99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273 (52.9)</w:t>
            </w:r>
          </w:p>
        </w:tc>
        <w:tc>
          <w:tcPr>
            <w:tcW w:w="4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72CACDE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70 (13.6)</w:t>
            </w:r>
          </w:p>
        </w:tc>
        <w:tc>
          <w:tcPr>
            <w:tcW w:w="4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7F068BC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173 (33.5)</w:t>
            </w:r>
          </w:p>
        </w:tc>
      </w:tr>
      <w:tr w:rsidR="000C0E1C" w:rsidRPr="000C0E1C" w14:paraId="60F647E4" w14:textId="77777777" w:rsidTr="00662856">
        <w:trPr>
          <w:trHeight w:val="284"/>
        </w:trPr>
        <w:tc>
          <w:tcPr>
            <w:tcW w:w="354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6C7A9F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bCs/>
                <w:sz w:val="24"/>
                <w:szCs w:val="24"/>
              </w:rPr>
              <w:t>10. Among high-risk FN patients, primary prevention is the most cost-effective strategy.</w:t>
            </w:r>
          </w:p>
        </w:tc>
        <w:tc>
          <w:tcPr>
            <w:tcW w:w="4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9A8E168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279 (54.1)</w:t>
            </w:r>
          </w:p>
        </w:tc>
        <w:tc>
          <w:tcPr>
            <w:tcW w:w="4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EDC1CBC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74 (14.3)</w:t>
            </w:r>
          </w:p>
        </w:tc>
        <w:tc>
          <w:tcPr>
            <w:tcW w:w="4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473CD9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163 (31.6)</w:t>
            </w:r>
          </w:p>
        </w:tc>
      </w:tr>
      <w:tr w:rsidR="000C0E1C" w:rsidRPr="000C0E1C" w14:paraId="67EA8B1E" w14:textId="77777777" w:rsidTr="00662856">
        <w:trPr>
          <w:trHeight w:val="284"/>
        </w:trPr>
        <w:tc>
          <w:tcPr>
            <w:tcW w:w="354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330E7CB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bCs/>
                <w:sz w:val="24"/>
                <w:szCs w:val="24"/>
              </w:rPr>
              <w:t xml:space="preserve">11. For ovarian cancer patients receiving docetaxel chemotherapy (including </w:t>
            </w:r>
            <w:proofErr w:type="spellStart"/>
            <w:r w:rsidRPr="000C0E1C">
              <w:rPr>
                <w:bCs/>
                <w:sz w:val="24"/>
                <w:szCs w:val="24"/>
              </w:rPr>
              <w:t>taxane</w:t>
            </w:r>
            <w:proofErr w:type="spellEnd"/>
            <w:r w:rsidRPr="000C0E1C">
              <w:rPr>
                <w:bCs/>
                <w:sz w:val="24"/>
                <w:szCs w:val="24"/>
              </w:rPr>
              <w:t>-resistant ovarian cancer patients, such as epithelial ovarian cancer), proactive use of G-CSF is recommended due to the high risk of FN.</w:t>
            </w:r>
          </w:p>
        </w:tc>
        <w:tc>
          <w:tcPr>
            <w:tcW w:w="4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6393B26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259 (50.2)</w:t>
            </w:r>
          </w:p>
        </w:tc>
        <w:tc>
          <w:tcPr>
            <w:tcW w:w="4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9F09EE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80 (15.5)</w:t>
            </w:r>
          </w:p>
        </w:tc>
        <w:tc>
          <w:tcPr>
            <w:tcW w:w="4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4CC33B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177 (34.3)</w:t>
            </w:r>
          </w:p>
        </w:tc>
      </w:tr>
      <w:tr w:rsidR="000C0E1C" w:rsidRPr="000C0E1C" w14:paraId="725733FE" w14:textId="77777777" w:rsidTr="00662856">
        <w:trPr>
          <w:trHeight w:val="145"/>
        </w:trPr>
        <w:tc>
          <w:tcPr>
            <w:tcW w:w="354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BE7F230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bCs/>
                <w:sz w:val="24"/>
                <w:szCs w:val="24"/>
              </w:rPr>
              <w:t>12. Patients experiencing FN despite prophylactic G-CSF use may need to consider reducing chemotherapy doses or altering the chemotherapy regimen.</w:t>
            </w:r>
          </w:p>
        </w:tc>
        <w:tc>
          <w:tcPr>
            <w:tcW w:w="4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42F1AD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286 (55.4)</w:t>
            </w:r>
          </w:p>
        </w:tc>
        <w:tc>
          <w:tcPr>
            <w:tcW w:w="4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3E7CAC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73 (14.1)</w:t>
            </w:r>
          </w:p>
        </w:tc>
        <w:tc>
          <w:tcPr>
            <w:tcW w:w="4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B41B206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157 (30.4)</w:t>
            </w:r>
          </w:p>
        </w:tc>
      </w:tr>
      <w:tr w:rsidR="000C0E1C" w:rsidRPr="000C0E1C" w14:paraId="59D4A84B" w14:textId="77777777" w:rsidTr="00662856">
        <w:trPr>
          <w:trHeight w:val="145"/>
        </w:trPr>
        <w:tc>
          <w:tcPr>
            <w:tcW w:w="354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67290BC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bCs/>
                <w:sz w:val="24"/>
                <w:szCs w:val="24"/>
              </w:rPr>
              <w:t>13. G-CSF administration should be initiated 24-72 hours after chemotherapy, with a prohibition on administration within 48 hours before or during chemotherapy.</w:t>
            </w:r>
          </w:p>
        </w:tc>
        <w:tc>
          <w:tcPr>
            <w:tcW w:w="4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42740B5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254 (49.2)</w:t>
            </w:r>
          </w:p>
        </w:tc>
        <w:tc>
          <w:tcPr>
            <w:tcW w:w="4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0EA3360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82 (15.9)</w:t>
            </w:r>
          </w:p>
        </w:tc>
        <w:tc>
          <w:tcPr>
            <w:tcW w:w="4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3C1B8A0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180 (34.9)</w:t>
            </w:r>
          </w:p>
        </w:tc>
      </w:tr>
      <w:tr w:rsidR="000C0E1C" w:rsidRPr="000C0E1C" w14:paraId="72D7BE67" w14:textId="77777777" w:rsidTr="00662856">
        <w:trPr>
          <w:trHeight w:val="145"/>
        </w:trPr>
        <w:tc>
          <w:tcPr>
            <w:tcW w:w="354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E491ABD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bCs/>
                <w:sz w:val="24"/>
                <w:szCs w:val="24"/>
              </w:rPr>
              <w:t>14. The primary goal of treating neutropenia is to prevent and reduce the risks associated with neutropenia, including fever, infection, sepsis, and even death.</w:t>
            </w:r>
          </w:p>
        </w:tc>
        <w:tc>
          <w:tcPr>
            <w:tcW w:w="4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593A82A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278 (53.9)</w:t>
            </w:r>
          </w:p>
        </w:tc>
        <w:tc>
          <w:tcPr>
            <w:tcW w:w="4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CA7357D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68 (13.2)</w:t>
            </w:r>
          </w:p>
        </w:tc>
        <w:tc>
          <w:tcPr>
            <w:tcW w:w="4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5BBDB44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170 (32.9)</w:t>
            </w:r>
          </w:p>
        </w:tc>
      </w:tr>
      <w:tr w:rsidR="000C0E1C" w:rsidRPr="000C0E1C" w14:paraId="56526523" w14:textId="77777777" w:rsidTr="00662856">
        <w:trPr>
          <w:trHeight w:val="145"/>
        </w:trPr>
        <w:tc>
          <w:tcPr>
            <w:tcW w:w="354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9B07B8A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bCs/>
                <w:sz w:val="24"/>
                <w:szCs w:val="24"/>
              </w:rPr>
              <w:t xml:space="preserve">15. The objective of managing thrombocytopenia is to maintain platelets at a certain level and </w:t>
            </w:r>
            <w:r w:rsidRPr="000C0E1C">
              <w:rPr>
                <w:bCs/>
                <w:sz w:val="24"/>
                <w:szCs w:val="24"/>
              </w:rPr>
              <w:lastRenderedPageBreak/>
              <w:t>reduce the risk of bleeding.</w:t>
            </w:r>
          </w:p>
        </w:tc>
        <w:tc>
          <w:tcPr>
            <w:tcW w:w="4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2803C5D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lastRenderedPageBreak/>
              <w:t>288 (55.8)</w:t>
            </w:r>
          </w:p>
        </w:tc>
        <w:tc>
          <w:tcPr>
            <w:tcW w:w="4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C98B6D1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73 (14.1)</w:t>
            </w:r>
          </w:p>
        </w:tc>
        <w:tc>
          <w:tcPr>
            <w:tcW w:w="4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9AA5382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155 (30.0)</w:t>
            </w:r>
          </w:p>
        </w:tc>
      </w:tr>
      <w:tr w:rsidR="000C0E1C" w:rsidRPr="000C0E1C" w14:paraId="7527535E" w14:textId="77777777" w:rsidTr="00662856">
        <w:trPr>
          <w:trHeight w:val="145"/>
        </w:trPr>
        <w:tc>
          <w:tcPr>
            <w:tcW w:w="354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FED16C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bCs/>
                <w:sz w:val="24"/>
                <w:szCs w:val="24"/>
              </w:rPr>
              <w:t>16. Preventive and therapeutic approaches for anticancer drug-induced thrombocytopenia mainly include platelet-promoting drugs such as recombinant human thrombopoietin (</w:t>
            </w:r>
            <w:proofErr w:type="spellStart"/>
            <w:r w:rsidRPr="000C0E1C">
              <w:rPr>
                <w:bCs/>
                <w:sz w:val="24"/>
                <w:szCs w:val="24"/>
              </w:rPr>
              <w:t>rhTPO</w:t>
            </w:r>
            <w:proofErr w:type="spellEnd"/>
            <w:r w:rsidRPr="000C0E1C">
              <w:rPr>
                <w:bCs/>
                <w:sz w:val="24"/>
                <w:szCs w:val="24"/>
              </w:rPr>
              <w:t>), rhIL-11, and direct platelet transfusion.</w:t>
            </w:r>
          </w:p>
        </w:tc>
        <w:tc>
          <w:tcPr>
            <w:tcW w:w="4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7B4F0AE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292 (56.6)</w:t>
            </w:r>
          </w:p>
        </w:tc>
        <w:tc>
          <w:tcPr>
            <w:tcW w:w="4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38211E4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61 (11.8)</w:t>
            </w:r>
          </w:p>
        </w:tc>
        <w:tc>
          <w:tcPr>
            <w:tcW w:w="4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FF500A9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163 (31.6)</w:t>
            </w:r>
          </w:p>
        </w:tc>
      </w:tr>
      <w:tr w:rsidR="000C0E1C" w:rsidRPr="000C0E1C" w14:paraId="0AFAE938" w14:textId="77777777" w:rsidTr="00662856">
        <w:trPr>
          <w:trHeight w:val="145"/>
        </w:trPr>
        <w:tc>
          <w:tcPr>
            <w:tcW w:w="354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0B646A5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bCs/>
                <w:sz w:val="24"/>
                <w:szCs w:val="24"/>
              </w:rPr>
              <w:t>17. Preventive and therapeutic measures for anticancer drug-induced anemia include iron supplementation, folic acid, vitamin B12, EPO, and blood transfusion therapy.</w:t>
            </w:r>
          </w:p>
        </w:tc>
        <w:tc>
          <w:tcPr>
            <w:tcW w:w="4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BC0E767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278 (53.9)</w:t>
            </w:r>
          </w:p>
        </w:tc>
        <w:tc>
          <w:tcPr>
            <w:tcW w:w="4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27A54DA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64 (12.4)</w:t>
            </w:r>
          </w:p>
        </w:tc>
        <w:tc>
          <w:tcPr>
            <w:tcW w:w="4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A160CEF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174 (33.7)</w:t>
            </w:r>
          </w:p>
        </w:tc>
      </w:tr>
      <w:tr w:rsidR="000C0E1C" w:rsidRPr="000C0E1C" w14:paraId="6D354227" w14:textId="77777777" w:rsidTr="00662856">
        <w:trPr>
          <w:trHeight w:val="145"/>
        </w:trPr>
        <w:tc>
          <w:tcPr>
            <w:tcW w:w="3542" w:type="pct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6D1CC41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bCs/>
                <w:sz w:val="24"/>
                <w:szCs w:val="24"/>
              </w:rPr>
              <w:t>18. Successful management of myelosuppression requires timely identification and intervention; hence, patient education and local monitoring are crucial.</w:t>
            </w:r>
          </w:p>
        </w:tc>
        <w:tc>
          <w:tcPr>
            <w:tcW w:w="486" w:type="pct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995BB52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277 (53.7)</w:t>
            </w:r>
          </w:p>
        </w:tc>
        <w:tc>
          <w:tcPr>
            <w:tcW w:w="486" w:type="pct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0400D3D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63 (12.2)</w:t>
            </w:r>
          </w:p>
        </w:tc>
        <w:tc>
          <w:tcPr>
            <w:tcW w:w="486" w:type="pct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448857A" w14:textId="77777777" w:rsidR="000C0E1C" w:rsidRPr="000C0E1C" w:rsidRDefault="000C0E1C" w:rsidP="00BD06C4">
            <w:pPr>
              <w:widowControl w:val="0"/>
              <w:spacing w:line="480" w:lineRule="auto"/>
              <w:jc w:val="left"/>
              <w:rPr>
                <w:rFonts w:eastAsia="Microsoft YaHei"/>
                <w:bCs/>
                <w:sz w:val="24"/>
                <w:szCs w:val="24"/>
              </w:rPr>
            </w:pPr>
            <w:r w:rsidRPr="000C0E1C">
              <w:rPr>
                <w:rFonts w:eastAsia="Microsoft YaHei"/>
                <w:bCs/>
                <w:sz w:val="24"/>
                <w:szCs w:val="24"/>
              </w:rPr>
              <w:t>176 (34.1)</w:t>
            </w:r>
          </w:p>
        </w:tc>
      </w:tr>
    </w:tbl>
    <w:p w14:paraId="2F37D226" w14:textId="77777777" w:rsidR="004F3C9E" w:rsidRPr="000C0E1C" w:rsidRDefault="004F3C9E" w:rsidP="004F3C9E">
      <w:pPr>
        <w:spacing w:line="480" w:lineRule="auto"/>
        <w:rPr>
          <w:rStyle w:val="Titre1Car"/>
          <w:rFonts w:ascii="Times New Roman" w:eastAsia="Microsoft YaHei" w:hAnsi="Times New Roman"/>
          <w:b w:val="0"/>
          <w:bCs w:val="0"/>
          <w:sz w:val="24"/>
          <w:szCs w:val="24"/>
        </w:rPr>
      </w:pPr>
    </w:p>
    <w:p w14:paraId="0B85B893" w14:textId="77777777" w:rsidR="004F3C9E" w:rsidRPr="000C0E1C" w:rsidRDefault="004F3C9E" w:rsidP="004F3C9E">
      <w:pPr>
        <w:spacing w:line="480" w:lineRule="auto"/>
        <w:rPr>
          <w:rStyle w:val="Titre1Car"/>
          <w:rFonts w:ascii="Times New Roman" w:eastAsia="Microsoft YaHei" w:hAnsi="Times New Roman"/>
          <w:sz w:val="24"/>
          <w:szCs w:val="24"/>
        </w:rPr>
      </w:pPr>
      <w:r w:rsidRPr="000C0E1C">
        <w:rPr>
          <w:rStyle w:val="Titre1Car"/>
          <w:rFonts w:ascii="Times New Roman" w:eastAsia="Microsoft YaHei" w:hAnsi="Times New Roman"/>
          <w:sz w:val="24"/>
          <w:szCs w:val="24"/>
        </w:rPr>
        <w:br w:type="page"/>
      </w:r>
      <w:r w:rsidRPr="000C0E1C">
        <w:rPr>
          <w:rStyle w:val="Titre1Car"/>
          <w:rFonts w:ascii="Times New Roman" w:eastAsia="Microsoft YaHei" w:hAnsi="Times New Roman"/>
          <w:sz w:val="24"/>
          <w:szCs w:val="24"/>
        </w:rPr>
        <w:lastRenderedPageBreak/>
        <w:t xml:space="preserve">Table S2. </w:t>
      </w:r>
      <w:r w:rsidRPr="000C0E1C">
        <w:rPr>
          <w:rStyle w:val="Titre1Car"/>
          <w:rFonts w:ascii="Times New Roman" w:eastAsia="Microsoft YaHei" w:hAnsi="Times New Roman"/>
          <w:b w:val="0"/>
          <w:bCs w:val="0"/>
          <w:sz w:val="24"/>
          <w:szCs w:val="24"/>
        </w:rPr>
        <w:t>Attitude dimension of the participants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7687"/>
        <w:gridCol w:w="1226"/>
        <w:gridCol w:w="1226"/>
        <w:gridCol w:w="1245"/>
        <w:gridCol w:w="1318"/>
        <w:gridCol w:w="1256"/>
      </w:tblGrid>
      <w:tr w:rsidR="004F3C9E" w:rsidRPr="000C0E1C" w14:paraId="02DCF2AC" w14:textId="77777777" w:rsidTr="00662856">
        <w:trPr>
          <w:trHeight w:val="284"/>
          <w:jc w:val="center"/>
        </w:trPr>
        <w:tc>
          <w:tcPr>
            <w:tcW w:w="2754" w:type="pct"/>
            <w:tcBorders>
              <w:top w:val="single" w:sz="4" w:space="0" w:color="auto"/>
              <w:bottom w:val="dotted" w:sz="4" w:space="0" w:color="auto"/>
            </w:tcBorders>
          </w:tcPr>
          <w:p w14:paraId="24069ECB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bottom w:val="dotted" w:sz="4" w:space="0" w:color="auto"/>
            </w:tcBorders>
          </w:tcPr>
          <w:p w14:paraId="2D069ED9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b/>
                <w:bCs/>
                <w:sz w:val="24"/>
                <w:szCs w:val="24"/>
              </w:rPr>
            </w:pPr>
            <w:r w:rsidRPr="000C0E1C">
              <w:rPr>
                <w:sz w:val="24"/>
                <w:szCs w:val="24"/>
              </w:rPr>
              <w:t>Strongly Agree</w:t>
            </w:r>
          </w:p>
        </w:tc>
        <w:tc>
          <w:tcPr>
            <w:tcW w:w="439" w:type="pct"/>
            <w:tcBorders>
              <w:top w:val="single" w:sz="4" w:space="0" w:color="auto"/>
              <w:bottom w:val="dotted" w:sz="4" w:space="0" w:color="auto"/>
            </w:tcBorders>
          </w:tcPr>
          <w:p w14:paraId="7208C126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b/>
                <w:bCs/>
                <w:sz w:val="24"/>
                <w:szCs w:val="24"/>
              </w:rPr>
            </w:pPr>
            <w:r w:rsidRPr="000C0E1C">
              <w:rPr>
                <w:sz w:val="24"/>
                <w:szCs w:val="24"/>
              </w:rPr>
              <w:t>Agree</w:t>
            </w:r>
          </w:p>
        </w:tc>
        <w:tc>
          <w:tcPr>
            <w:tcW w:w="446" w:type="pct"/>
            <w:tcBorders>
              <w:top w:val="single" w:sz="4" w:space="0" w:color="auto"/>
              <w:bottom w:val="dotted" w:sz="4" w:space="0" w:color="auto"/>
            </w:tcBorders>
          </w:tcPr>
          <w:p w14:paraId="54E6B23C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b/>
                <w:bCs/>
                <w:sz w:val="24"/>
                <w:szCs w:val="24"/>
              </w:rPr>
            </w:pPr>
            <w:r w:rsidRPr="000C0E1C">
              <w:rPr>
                <w:sz w:val="24"/>
                <w:szCs w:val="24"/>
              </w:rPr>
              <w:t>Neutra</w:t>
            </w:r>
          </w:p>
        </w:tc>
        <w:tc>
          <w:tcPr>
            <w:tcW w:w="472" w:type="pct"/>
            <w:tcBorders>
              <w:top w:val="single" w:sz="4" w:space="0" w:color="auto"/>
              <w:bottom w:val="dotted" w:sz="4" w:space="0" w:color="auto"/>
            </w:tcBorders>
          </w:tcPr>
          <w:p w14:paraId="31508323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b/>
                <w:bCs/>
                <w:sz w:val="24"/>
                <w:szCs w:val="24"/>
              </w:rPr>
            </w:pPr>
            <w:r w:rsidRPr="000C0E1C">
              <w:rPr>
                <w:sz w:val="24"/>
                <w:szCs w:val="24"/>
              </w:rPr>
              <w:t>Disagree</w:t>
            </w:r>
          </w:p>
        </w:tc>
        <w:tc>
          <w:tcPr>
            <w:tcW w:w="450" w:type="pct"/>
            <w:tcBorders>
              <w:top w:val="single" w:sz="4" w:space="0" w:color="auto"/>
              <w:bottom w:val="dotted" w:sz="4" w:space="0" w:color="auto"/>
            </w:tcBorders>
          </w:tcPr>
          <w:p w14:paraId="78C3994C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b/>
                <w:bCs/>
                <w:sz w:val="24"/>
                <w:szCs w:val="24"/>
              </w:rPr>
            </w:pPr>
            <w:r w:rsidRPr="000C0E1C">
              <w:rPr>
                <w:sz w:val="24"/>
                <w:szCs w:val="24"/>
              </w:rPr>
              <w:t>Strongly disagree</w:t>
            </w:r>
          </w:p>
        </w:tc>
      </w:tr>
      <w:tr w:rsidR="004F3C9E" w:rsidRPr="000C0E1C" w14:paraId="686B4094" w14:textId="77777777" w:rsidTr="00662856">
        <w:trPr>
          <w:trHeight w:val="145"/>
          <w:jc w:val="center"/>
        </w:trPr>
        <w:tc>
          <w:tcPr>
            <w:tcW w:w="2754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1565FE9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b/>
                <w:sz w:val="24"/>
                <w:szCs w:val="24"/>
              </w:rPr>
            </w:pPr>
            <w:r w:rsidRPr="000C0E1C">
              <w:rPr>
                <w:sz w:val="24"/>
                <w:szCs w:val="24"/>
              </w:rPr>
              <w:t>1. I believe the early prevention of myelosuppression after ovarian cancer chemotherapy is not very effective.</w:t>
            </w:r>
          </w:p>
        </w:tc>
        <w:tc>
          <w:tcPr>
            <w:tcW w:w="439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9AA6D07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85 (16.5)</w:t>
            </w:r>
          </w:p>
        </w:tc>
        <w:tc>
          <w:tcPr>
            <w:tcW w:w="439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A256801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74 (14.3)</w:t>
            </w:r>
          </w:p>
        </w:tc>
        <w:tc>
          <w:tcPr>
            <w:tcW w:w="446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813CC9F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86 (16.7)</w:t>
            </w:r>
          </w:p>
        </w:tc>
        <w:tc>
          <w:tcPr>
            <w:tcW w:w="472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A9DDCEF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145 (28.1)</w:t>
            </w:r>
          </w:p>
        </w:tc>
        <w:tc>
          <w:tcPr>
            <w:tcW w:w="450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5318940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126 (24.4)</w:t>
            </w:r>
          </w:p>
        </w:tc>
      </w:tr>
      <w:tr w:rsidR="004F3C9E" w:rsidRPr="000C0E1C" w14:paraId="4E201EE5" w14:textId="77777777" w:rsidTr="00662856">
        <w:trPr>
          <w:trHeight w:val="284"/>
          <w:jc w:val="center"/>
        </w:trPr>
        <w:tc>
          <w:tcPr>
            <w:tcW w:w="2754" w:type="pct"/>
            <w:tcBorders>
              <w:top w:val="nil"/>
              <w:left w:val="nil"/>
              <w:bottom w:val="nil"/>
              <w:right w:val="nil"/>
            </w:tcBorders>
          </w:tcPr>
          <w:p w14:paraId="75994FEB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b/>
                <w:sz w:val="24"/>
                <w:szCs w:val="24"/>
              </w:rPr>
            </w:pPr>
            <w:r w:rsidRPr="000C0E1C">
              <w:rPr>
                <w:sz w:val="24"/>
                <w:szCs w:val="24"/>
              </w:rPr>
              <w:t>2. I believe that ovarian cancer-induced myelosuppression can bring serious consequences to patients, even threatening their life safety. Therefore, once it has occurred, chemotherapy should not be administered again.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</w:tcPr>
          <w:p w14:paraId="159BE8A1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87 (16.9)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</w:tcPr>
          <w:p w14:paraId="19381E84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77 (14.9)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</w:tcPr>
          <w:p w14:paraId="18F76002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72 (14.0)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</w:tcPr>
          <w:p w14:paraId="652AED17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147 (28.5)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</w:tcPr>
          <w:p w14:paraId="3AD66652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133 (25.8)</w:t>
            </w:r>
          </w:p>
        </w:tc>
      </w:tr>
      <w:tr w:rsidR="004F3C9E" w:rsidRPr="000C0E1C" w14:paraId="04AEBEA2" w14:textId="77777777" w:rsidTr="00662856">
        <w:trPr>
          <w:trHeight w:val="145"/>
          <w:jc w:val="center"/>
        </w:trPr>
        <w:tc>
          <w:tcPr>
            <w:tcW w:w="2754" w:type="pct"/>
            <w:tcBorders>
              <w:top w:val="nil"/>
              <w:left w:val="nil"/>
              <w:bottom w:val="nil"/>
              <w:right w:val="nil"/>
            </w:tcBorders>
          </w:tcPr>
          <w:p w14:paraId="414E1F7E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b/>
                <w:sz w:val="24"/>
                <w:szCs w:val="24"/>
              </w:rPr>
            </w:pPr>
            <w:r w:rsidRPr="000C0E1C">
              <w:rPr>
                <w:sz w:val="24"/>
                <w:szCs w:val="24"/>
              </w:rPr>
              <w:t>3. I believe that the use of G-CSF as primary prevention in clinical practice can greatly alleviate the occurrence of myelosuppression.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</w:tcPr>
          <w:p w14:paraId="6D1AF89E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113 (21.9)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</w:tcPr>
          <w:p w14:paraId="3EC0A90E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132 (25.6)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</w:tcPr>
          <w:p w14:paraId="0022480B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74 (14.3)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</w:tcPr>
          <w:p w14:paraId="3E328C30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82 (15.9)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</w:tcPr>
          <w:p w14:paraId="3438DE23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115 (22.3)</w:t>
            </w:r>
          </w:p>
        </w:tc>
      </w:tr>
      <w:tr w:rsidR="004F3C9E" w:rsidRPr="000C0E1C" w14:paraId="79234DF9" w14:textId="77777777" w:rsidTr="00662856">
        <w:trPr>
          <w:trHeight w:val="284"/>
          <w:jc w:val="center"/>
        </w:trPr>
        <w:tc>
          <w:tcPr>
            <w:tcW w:w="2754" w:type="pct"/>
            <w:tcBorders>
              <w:top w:val="nil"/>
              <w:left w:val="nil"/>
              <w:bottom w:val="nil"/>
              <w:right w:val="nil"/>
            </w:tcBorders>
          </w:tcPr>
          <w:p w14:paraId="3ED3FF21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b/>
                <w:sz w:val="24"/>
                <w:szCs w:val="24"/>
              </w:rPr>
            </w:pPr>
            <w:r w:rsidRPr="000C0E1C">
              <w:rPr>
                <w:sz w:val="24"/>
                <w:szCs w:val="24"/>
              </w:rPr>
              <w:t>4. I believe that the current clinical treatment of myelosuppression after ovarian cancer chemotherapy is effective.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</w:tcPr>
          <w:p w14:paraId="65EF6A41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127 (24.6)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</w:tcPr>
          <w:p w14:paraId="2CCC3494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143 (27.7)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</w:tcPr>
          <w:p w14:paraId="3109D9FF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73 (14.1)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</w:tcPr>
          <w:p w14:paraId="61FCE95F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96 (18.6)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</w:tcPr>
          <w:p w14:paraId="3E91C445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77 (14.9)</w:t>
            </w:r>
          </w:p>
        </w:tc>
      </w:tr>
      <w:tr w:rsidR="004F3C9E" w:rsidRPr="000C0E1C" w14:paraId="0784C3DD" w14:textId="77777777" w:rsidTr="00662856">
        <w:trPr>
          <w:trHeight w:val="145"/>
          <w:jc w:val="center"/>
        </w:trPr>
        <w:tc>
          <w:tcPr>
            <w:tcW w:w="2754" w:type="pct"/>
            <w:tcBorders>
              <w:top w:val="nil"/>
              <w:left w:val="nil"/>
              <w:bottom w:val="nil"/>
              <w:right w:val="nil"/>
            </w:tcBorders>
          </w:tcPr>
          <w:p w14:paraId="5A735187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b/>
                <w:sz w:val="24"/>
                <w:szCs w:val="24"/>
              </w:rPr>
            </w:pPr>
            <w:r w:rsidRPr="000C0E1C">
              <w:rPr>
                <w:sz w:val="24"/>
                <w:szCs w:val="24"/>
              </w:rPr>
              <w:t>5. I believe that regardless of the risk, we should be vigilant about the occurrence of myelosuppression after chemotherapy.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</w:tcPr>
          <w:p w14:paraId="150B7C7D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164 (31.8)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</w:tcPr>
          <w:p w14:paraId="74B39615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109 (21.1)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</w:tcPr>
          <w:p w14:paraId="28919931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60 (11.6)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</w:tcPr>
          <w:p w14:paraId="74AEC67D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95 (18.4)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</w:tcPr>
          <w:p w14:paraId="70019382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88 (17.1)</w:t>
            </w:r>
          </w:p>
        </w:tc>
      </w:tr>
      <w:tr w:rsidR="004F3C9E" w:rsidRPr="000C0E1C" w14:paraId="28CFF0F6" w14:textId="77777777" w:rsidTr="00662856">
        <w:trPr>
          <w:trHeight w:val="145"/>
          <w:jc w:val="center"/>
        </w:trPr>
        <w:tc>
          <w:tcPr>
            <w:tcW w:w="2754" w:type="pct"/>
            <w:tcBorders>
              <w:top w:val="nil"/>
              <w:left w:val="nil"/>
              <w:bottom w:val="nil"/>
              <w:right w:val="nil"/>
            </w:tcBorders>
          </w:tcPr>
          <w:p w14:paraId="0B5A9C7A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b/>
                <w:sz w:val="24"/>
                <w:szCs w:val="24"/>
              </w:rPr>
            </w:pPr>
            <w:r w:rsidRPr="000C0E1C">
              <w:rPr>
                <w:sz w:val="24"/>
                <w:szCs w:val="24"/>
              </w:rPr>
              <w:lastRenderedPageBreak/>
              <w:t>6. I believe that timely identification and intervention for myelosuppression can effectively control and alleviate it, improving patient prognosis.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</w:tcPr>
          <w:p w14:paraId="2E31A7B9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158 (30.6)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</w:tcPr>
          <w:p w14:paraId="41FC2EE9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96 (18.6)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</w:tcPr>
          <w:p w14:paraId="02A07E29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74 (14.3)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</w:tcPr>
          <w:p w14:paraId="62149261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94 (18.2)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</w:tcPr>
          <w:p w14:paraId="4A4088E1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94 (18.2)</w:t>
            </w:r>
          </w:p>
        </w:tc>
      </w:tr>
      <w:tr w:rsidR="004F3C9E" w:rsidRPr="000C0E1C" w14:paraId="2A460B99" w14:textId="77777777" w:rsidTr="00662856">
        <w:trPr>
          <w:trHeight w:val="145"/>
          <w:jc w:val="center"/>
        </w:trPr>
        <w:tc>
          <w:tcPr>
            <w:tcW w:w="275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5BE34F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b/>
                <w:sz w:val="24"/>
                <w:szCs w:val="24"/>
              </w:rPr>
            </w:pPr>
            <w:r w:rsidRPr="000C0E1C">
              <w:rPr>
                <w:sz w:val="24"/>
                <w:szCs w:val="24"/>
              </w:rPr>
              <w:t>7. I believe that patient education is crucial for managing myelosuppression, and it is necessary to inform patients about the risks and control measures of myelosuppression before and after each chemotherapy session.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2C34A6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179 (34.7)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ECB42C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97 (18.8)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8DD2C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76 (14.7)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D984A7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86 (16.7)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C2BFD4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78 (15.1)</w:t>
            </w:r>
          </w:p>
        </w:tc>
      </w:tr>
    </w:tbl>
    <w:p w14:paraId="5C37AF6B" w14:textId="77777777" w:rsidR="004F3C9E" w:rsidRPr="000C0E1C" w:rsidRDefault="004F3C9E" w:rsidP="004F3C9E">
      <w:pPr>
        <w:spacing w:line="480" w:lineRule="auto"/>
        <w:rPr>
          <w:rStyle w:val="Titre1Car"/>
          <w:rFonts w:ascii="Times New Roman" w:eastAsia="Microsoft YaHei" w:hAnsi="Times New Roman"/>
          <w:sz w:val="24"/>
          <w:szCs w:val="24"/>
        </w:rPr>
      </w:pPr>
      <w:r w:rsidRPr="000C0E1C">
        <w:rPr>
          <w:rStyle w:val="tgt"/>
          <w:rFonts w:eastAsia="PingFang SC"/>
          <w:sz w:val="24"/>
          <w:szCs w:val="24"/>
        </w:rPr>
        <w:t>Questions A3-A7 are positive attitudes, and A1-A2 are negative attitudes.</w:t>
      </w:r>
    </w:p>
    <w:p w14:paraId="5F51769C" w14:textId="77777777" w:rsidR="004F3C9E" w:rsidRPr="000C0E1C" w:rsidRDefault="004F3C9E" w:rsidP="004F3C9E">
      <w:pPr>
        <w:spacing w:line="480" w:lineRule="auto"/>
        <w:rPr>
          <w:rStyle w:val="Titre1Car"/>
          <w:rFonts w:ascii="Times New Roman" w:eastAsia="Microsoft YaHei" w:hAnsi="Times New Roman"/>
          <w:b w:val="0"/>
          <w:bCs w:val="0"/>
          <w:sz w:val="24"/>
          <w:szCs w:val="24"/>
        </w:rPr>
      </w:pPr>
      <w:r w:rsidRPr="000C0E1C">
        <w:rPr>
          <w:rStyle w:val="Titre1Car"/>
          <w:rFonts w:ascii="Times New Roman" w:eastAsia="Microsoft YaHei" w:hAnsi="Times New Roman"/>
          <w:sz w:val="24"/>
          <w:szCs w:val="24"/>
        </w:rPr>
        <w:br w:type="page"/>
      </w:r>
      <w:r w:rsidRPr="000C0E1C">
        <w:rPr>
          <w:rStyle w:val="Titre1Car"/>
          <w:rFonts w:ascii="Times New Roman" w:eastAsia="Microsoft YaHei" w:hAnsi="Times New Roman"/>
          <w:sz w:val="24"/>
          <w:szCs w:val="24"/>
        </w:rPr>
        <w:lastRenderedPageBreak/>
        <w:t xml:space="preserve">Table S3. </w:t>
      </w:r>
      <w:r w:rsidRPr="000C0E1C">
        <w:rPr>
          <w:rStyle w:val="Titre1Car"/>
          <w:rFonts w:ascii="Times New Roman" w:eastAsia="Microsoft YaHei" w:hAnsi="Times New Roman"/>
          <w:b w:val="0"/>
          <w:bCs w:val="0"/>
          <w:sz w:val="24"/>
          <w:szCs w:val="24"/>
        </w:rPr>
        <w:t>Practice dimension of the participants.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7519"/>
        <w:gridCol w:w="1231"/>
        <w:gridCol w:w="1225"/>
        <w:gridCol w:w="1283"/>
        <w:gridCol w:w="1469"/>
        <w:gridCol w:w="1231"/>
      </w:tblGrid>
      <w:tr w:rsidR="004F3C9E" w:rsidRPr="000C0E1C" w14:paraId="54AE1A69" w14:textId="77777777" w:rsidTr="00662856">
        <w:trPr>
          <w:trHeight w:val="284"/>
          <w:jc w:val="center"/>
        </w:trPr>
        <w:tc>
          <w:tcPr>
            <w:tcW w:w="2694" w:type="pct"/>
            <w:tcBorders>
              <w:top w:val="single" w:sz="4" w:space="0" w:color="auto"/>
              <w:bottom w:val="dotted" w:sz="4" w:space="0" w:color="auto"/>
            </w:tcBorders>
          </w:tcPr>
          <w:p w14:paraId="5340173C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bottom w:val="dotted" w:sz="4" w:space="0" w:color="auto"/>
            </w:tcBorders>
          </w:tcPr>
          <w:p w14:paraId="5CC84D75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Always</w:t>
            </w:r>
          </w:p>
        </w:tc>
        <w:tc>
          <w:tcPr>
            <w:tcW w:w="440" w:type="pct"/>
            <w:tcBorders>
              <w:top w:val="single" w:sz="4" w:space="0" w:color="auto"/>
              <w:bottom w:val="dotted" w:sz="4" w:space="0" w:color="auto"/>
            </w:tcBorders>
          </w:tcPr>
          <w:p w14:paraId="0B507A97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Often</w:t>
            </w:r>
          </w:p>
        </w:tc>
        <w:tc>
          <w:tcPr>
            <w:tcW w:w="456" w:type="pct"/>
            <w:tcBorders>
              <w:top w:val="single" w:sz="4" w:space="0" w:color="auto"/>
              <w:bottom w:val="dotted" w:sz="4" w:space="0" w:color="auto"/>
            </w:tcBorders>
          </w:tcPr>
          <w:p w14:paraId="297BBAB7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Sometimes</w:t>
            </w:r>
          </w:p>
        </w:tc>
        <w:tc>
          <w:tcPr>
            <w:tcW w:w="525" w:type="pct"/>
            <w:tcBorders>
              <w:top w:val="single" w:sz="4" w:space="0" w:color="auto"/>
              <w:bottom w:val="dotted" w:sz="4" w:space="0" w:color="auto"/>
            </w:tcBorders>
          </w:tcPr>
          <w:p w14:paraId="0AB6B961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Occasionally</w:t>
            </w:r>
          </w:p>
        </w:tc>
        <w:tc>
          <w:tcPr>
            <w:tcW w:w="442" w:type="pct"/>
            <w:tcBorders>
              <w:top w:val="single" w:sz="4" w:space="0" w:color="auto"/>
              <w:bottom w:val="dotted" w:sz="4" w:space="0" w:color="auto"/>
            </w:tcBorders>
          </w:tcPr>
          <w:p w14:paraId="1EF268E0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Never</w:t>
            </w:r>
          </w:p>
        </w:tc>
      </w:tr>
      <w:tr w:rsidR="004F3C9E" w:rsidRPr="000C0E1C" w14:paraId="6B46A43D" w14:textId="77777777" w:rsidTr="00662856">
        <w:trPr>
          <w:trHeight w:val="145"/>
          <w:jc w:val="center"/>
        </w:trPr>
        <w:tc>
          <w:tcPr>
            <w:tcW w:w="2694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6382176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sz w:val="24"/>
                <w:szCs w:val="24"/>
              </w:rPr>
              <w:t>1. I assess the risk of myelosuppression for patients before each chemotherapy session.</w:t>
            </w:r>
          </w:p>
        </w:tc>
        <w:tc>
          <w:tcPr>
            <w:tcW w:w="442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2687440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180 (34.9)</w:t>
            </w:r>
          </w:p>
        </w:tc>
        <w:tc>
          <w:tcPr>
            <w:tcW w:w="440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C408090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96 (18.6)</w:t>
            </w:r>
          </w:p>
        </w:tc>
        <w:tc>
          <w:tcPr>
            <w:tcW w:w="456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190C876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165 (32.0)</w:t>
            </w:r>
          </w:p>
        </w:tc>
        <w:tc>
          <w:tcPr>
            <w:tcW w:w="525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A6740E4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75 (14.5)</w:t>
            </w:r>
          </w:p>
        </w:tc>
        <w:tc>
          <w:tcPr>
            <w:tcW w:w="442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6314591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0 (0.0)</w:t>
            </w:r>
          </w:p>
        </w:tc>
      </w:tr>
      <w:tr w:rsidR="004F3C9E" w:rsidRPr="000C0E1C" w14:paraId="26310431" w14:textId="77777777" w:rsidTr="00662856">
        <w:trPr>
          <w:trHeight w:val="284"/>
          <w:jc w:val="center"/>
        </w:trPr>
        <w:tc>
          <w:tcPr>
            <w:tcW w:w="2694" w:type="pct"/>
            <w:tcBorders>
              <w:top w:val="nil"/>
              <w:left w:val="nil"/>
              <w:bottom w:val="nil"/>
              <w:right w:val="nil"/>
            </w:tcBorders>
          </w:tcPr>
          <w:p w14:paraId="1017ACD4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sz w:val="24"/>
                <w:szCs w:val="24"/>
              </w:rPr>
              <w:t>2. I thoroughly explain the potential risk of myelosuppression to patients before each chemotherapy session.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</w:tcPr>
          <w:p w14:paraId="774DED72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202 (39.1)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039B239B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104 (20.2)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</w:tcPr>
          <w:p w14:paraId="71B1A814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150 (29.1)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4789FF00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60 (11.6)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</w:tcPr>
          <w:p w14:paraId="14088708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0 (0.0)</w:t>
            </w:r>
          </w:p>
        </w:tc>
      </w:tr>
      <w:tr w:rsidR="004F3C9E" w:rsidRPr="000C0E1C" w14:paraId="11CFC426" w14:textId="77777777" w:rsidTr="00662856">
        <w:trPr>
          <w:trHeight w:val="145"/>
          <w:jc w:val="center"/>
        </w:trPr>
        <w:tc>
          <w:tcPr>
            <w:tcW w:w="2694" w:type="pct"/>
            <w:tcBorders>
              <w:top w:val="nil"/>
              <w:left w:val="nil"/>
              <w:bottom w:val="nil"/>
              <w:right w:val="nil"/>
            </w:tcBorders>
          </w:tcPr>
          <w:p w14:paraId="417A8DD0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sz w:val="24"/>
                <w:szCs w:val="24"/>
              </w:rPr>
              <w:t xml:space="preserve">3. Based on the risk assessment results for myelosuppression in patients, I </w:t>
            </w:r>
            <w:proofErr w:type="gramStart"/>
            <w:r w:rsidRPr="000C0E1C">
              <w:rPr>
                <w:sz w:val="24"/>
                <w:szCs w:val="24"/>
              </w:rPr>
              <w:t>adjust  (</w:t>
            </w:r>
            <w:proofErr w:type="gramEnd"/>
            <w:r w:rsidRPr="000C0E1C">
              <w:rPr>
                <w:sz w:val="24"/>
                <w:szCs w:val="24"/>
              </w:rPr>
              <w:t>or advise the doctor to adjust) the chemotherapy dosage or regimen.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</w:tcPr>
          <w:p w14:paraId="159F3F61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161 (31.2)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194F2569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105 (20.3)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</w:tcPr>
          <w:p w14:paraId="0C5AF754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168 (32.6)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18CEFE40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82 (15.9)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</w:tcPr>
          <w:p w14:paraId="57FCA195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0 (0.0)</w:t>
            </w:r>
          </w:p>
        </w:tc>
      </w:tr>
      <w:tr w:rsidR="004F3C9E" w:rsidRPr="000C0E1C" w14:paraId="1E4EB1EA" w14:textId="77777777" w:rsidTr="00662856">
        <w:trPr>
          <w:trHeight w:val="284"/>
          <w:jc w:val="center"/>
        </w:trPr>
        <w:tc>
          <w:tcPr>
            <w:tcW w:w="2694" w:type="pct"/>
            <w:tcBorders>
              <w:top w:val="nil"/>
              <w:left w:val="nil"/>
              <w:bottom w:val="nil"/>
              <w:right w:val="nil"/>
            </w:tcBorders>
          </w:tcPr>
          <w:p w14:paraId="6AA4924F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sz w:val="24"/>
                <w:szCs w:val="24"/>
              </w:rPr>
              <w:t>4. I recommend the prophylactic use of G-CSF for chemotherapy patients.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</w:tcPr>
          <w:p w14:paraId="468DDCDB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150 (29.1)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4B5E9693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112 (21.7)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</w:tcPr>
          <w:p w14:paraId="06C35727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185 (35.9)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0EF32D2A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69 (13.4)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</w:tcPr>
          <w:p w14:paraId="22186E5D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0 (0.0)</w:t>
            </w:r>
          </w:p>
        </w:tc>
      </w:tr>
      <w:tr w:rsidR="004F3C9E" w:rsidRPr="000C0E1C" w14:paraId="6B53A89A" w14:textId="77777777" w:rsidTr="00662856">
        <w:trPr>
          <w:trHeight w:val="145"/>
          <w:jc w:val="center"/>
        </w:trPr>
        <w:tc>
          <w:tcPr>
            <w:tcW w:w="2694" w:type="pct"/>
            <w:tcBorders>
              <w:top w:val="nil"/>
              <w:left w:val="nil"/>
              <w:bottom w:val="nil"/>
              <w:right w:val="nil"/>
            </w:tcBorders>
          </w:tcPr>
          <w:p w14:paraId="4C0C2677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sz w:val="24"/>
                <w:szCs w:val="24"/>
              </w:rPr>
              <w:t xml:space="preserve">5. For patients who have not received prophylactic G-CSF, I assess the risk of therapeutic use of </w:t>
            </w:r>
            <w:proofErr w:type="spellStart"/>
            <w:r w:rsidRPr="000C0E1C">
              <w:rPr>
                <w:sz w:val="24"/>
                <w:szCs w:val="24"/>
              </w:rPr>
              <w:t>rhG</w:t>
            </w:r>
            <w:proofErr w:type="spellEnd"/>
            <w:r w:rsidRPr="000C0E1C">
              <w:rPr>
                <w:sz w:val="24"/>
                <w:szCs w:val="24"/>
              </w:rPr>
              <w:t>-CSF.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</w:tcPr>
          <w:p w14:paraId="092C6F83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150 (29.1)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08BEA49F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104 (20.2)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</w:tcPr>
          <w:p w14:paraId="14BE2BCD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180 (34.9)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5EA30840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82 (15.9)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</w:tcPr>
          <w:p w14:paraId="2F80629B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0 (0.0)</w:t>
            </w:r>
          </w:p>
        </w:tc>
      </w:tr>
      <w:tr w:rsidR="004F3C9E" w:rsidRPr="000C0E1C" w14:paraId="71033436" w14:textId="77777777" w:rsidTr="00662856">
        <w:trPr>
          <w:trHeight w:val="145"/>
          <w:jc w:val="center"/>
        </w:trPr>
        <w:tc>
          <w:tcPr>
            <w:tcW w:w="2694" w:type="pct"/>
            <w:tcBorders>
              <w:top w:val="nil"/>
              <w:left w:val="nil"/>
              <w:bottom w:val="nil"/>
              <w:right w:val="nil"/>
            </w:tcBorders>
          </w:tcPr>
          <w:p w14:paraId="0378030D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sz w:val="24"/>
                <w:szCs w:val="24"/>
              </w:rPr>
              <w:t>6. For tumor patients at high risk of bleeding, when the platelet count is ≤ 10×109/L, I recommend prophylactic platelet transfusion.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</w:tcPr>
          <w:p w14:paraId="2E19BACD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158 (30.6)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2C202357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105 (20.3)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</w:tcPr>
          <w:p w14:paraId="67F8846A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182 (35.3)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43FCBF1C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71 (13.8)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</w:tcPr>
          <w:p w14:paraId="523C5E87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0 (0.0)</w:t>
            </w:r>
          </w:p>
        </w:tc>
      </w:tr>
      <w:tr w:rsidR="004F3C9E" w:rsidRPr="000C0E1C" w14:paraId="7152E4B1" w14:textId="77777777" w:rsidTr="00662856">
        <w:trPr>
          <w:trHeight w:val="145"/>
          <w:jc w:val="center"/>
        </w:trPr>
        <w:tc>
          <w:tcPr>
            <w:tcW w:w="2694" w:type="pct"/>
            <w:tcBorders>
              <w:top w:val="nil"/>
              <w:left w:val="nil"/>
              <w:bottom w:val="nil"/>
              <w:right w:val="nil"/>
            </w:tcBorders>
          </w:tcPr>
          <w:p w14:paraId="22F6ED49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sz w:val="24"/>
                <w:szCs w:val="24"/>
              </w:rPr>
              <w:lastRenderedPageBreak/>
              <w:t xml:space="preserve">7. During chemotherapy, I inform patients that they should have a weekly complete blood </w:t>
            </w:r>
            <w:proofErr w:type="gramStart"/>
            <w:r w:rsidRPr="000C0E1C">
              <w:rPr>
                <w:sz w:val="24"/>
                <w:szCs w:val="24"/>
              </w:rPr>
              <w:t>count  (</w:t>
            </w:r>
            <w:proofErr w:type="gramEnd"/>
            <w:r w:rsidRPr="000C0E1C">
              <w:rPr>
                <w:sz w:val="24"/>
                <w:szCs w:val="24"/>
              </w:rPr>
              <w:t>CBC) check.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</w:tcPr>
          <w:p w14:paraId="75F9D21F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209 (40.5)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0BFEEFD8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92 (17.8)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</w:tcPr>
          <w:p w14:paraId="4E43D941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165 (32.0)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1BF27DC3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50 (9.7)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</w:tcPr>
          <w:p w14:paraId="40CF71F0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0 (0.0)</w:t>
            </w:r>
          </w:p>
        </w:tc>
      </w:tr>
      <w:tr w:rsidR="004F3C9E" w:rsidRPr="000C0E1C" w14:paraId="3B99EE0B" w14:textId="77777777" w:rsidTr="00662856">
        <w:trPr>
          <w:trHeight w:val="145"/>
          <w:jc w:val="center"/>
        </w:trPr>
        <w:tc>
          <w:tcPr>
            <w:tcW w:w="2694" w:type="pct"/>
            <w:tcBorders>
              <w:top w:val="nil"/>
              <w:left w:val="nil"/>
              <w:bottom w:val="nil"/>
              <w:right w:val="nil"/>
            </w:tcBorders>
          </w:tcPr>
          <w:p w14:paraId="141C58B5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sz w:val="24"/>
                <w:szCs w:val="24"/>
              </w:rPr>
              <w:t>8. I inform patients that they should undergo a CBC test on days 8-14 of chemotherapy and measure their temperature after chemotherapy.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</w:tcPr>
          <w:p w14:paraId="1E83DBB7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185 (35.9)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4390CBA7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101 (19.6)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</w:tcPr>
          <w:p w14:paraId="24E1AD25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148 (28.7)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00BC385E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82 (15.9)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</w:tcPr>
          <w:p w14:paraId="4FCB0C0B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0 (0.0)</w:t>
            </w:r>
          </w:p>
        </w:tc>
      </w:tr>
      <w:tr w:rsidR="004F3C9E" w:rsidRPr="000C0E1C" w14:paraId="26F4A5F3" w14:textId="77777777" w:rsidTr="00662856">
        <w:trPr>
          <w:trHeight w:val="145"/>
          <w:jc w:val="center"/>
        </w:trPr>
        <w:tc>
          <w:tcPr>
            <w:tcW w:w="2694" w:type="pct"/>
            <w:tcBorders>
              <w:top w:val="nil"/>
              <w:left w:val="nil"/>
              <w:bottom w:val="nil"/>
              <w:right w:val="nil"/>
            </w:tcBorders>
          </w:tcPr>
          <w:p w14:paraId="1B4DFE74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sz w:val="24"/>
                <w:szCs w:val="24"/>
              </w:rPr>
              <w:t>9. For patients with potential risk of myelosuppression, I promptly conduct follow-up through phone calls or other means.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</w:tcPr>
          <w:p w14:paraId="1A27758B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157 (30.4)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76D52152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119 (23.1)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</w:tcPr>
          <w:p w14:paraId="696C4019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159 (30.8)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78E3DBEA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81 (15.7)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</w:tcPr>
          <w:p w14:paraId="5878A23B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0 (0.0)</w:t>
            </w:r>
          </w:p>
        </w:tc>
      </w:tr>
      <w:tr w:rsidR="004F3C9E" w:rsidRPr="000C0E1C" w14:paraId="3DC6ACC6" w14:textId="77777777" w:rsidTr="00662856">
        <w:trPr>
          <w:trHeight w:val="145"/>
          <w:jc w:val="center"/>
        </w:trPr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8F2011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sz w:val="24"/>
                <w:szCs w:val="24"/>
              </w:rPr>
              <w:t>10. I proactively monitor or participate in research on myelosuppression after chemotherapy for ovarian cancer.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DD5EA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160 (31.0)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942C27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108 (20.9)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6EAC36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183 (35.5)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D15781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65 (12.6)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6B911" w14:textId="77777777" w:rsidR="004F3C9E" w:rsidRPr="000C0E1C" w:rsidRDefault="004F3C9E" w:rsidP="00BD06C4">
            <w:pPr>
              <w:widowControl w:val="0"/>
              <w:spacing w:line="480" w:lineRule="auto"/>
              <w:jc w:val="left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0 (0.0)</w:t>
            </w:r>
          </w:p>
        </w:tc>
      </w:tr>
    </w:tbl>
    <w:p w14:paraId="09DEFB7A" w14:textId="77777777" w:rsidR="004F3C9E" w:rsidRPr="000C0E1C" w:rsidRDefault="004F3C9E" w:rsidP="004F3C9E">
      <w:pPr>
        <w:spacing w:line="480" w:lineRule="auto"/>
        <w:rPr>
          <w:rStyle w:val="Titre1Car"/>
          <w:rFonts w:ascii="Times New Roman" w:eastAsia="Microsoft YaHei" w:hAnsi="Times New Roman"/>
          <w:sz w:val="24"/>
          <w:szCs w:val="24"/>
        </w:rPr>
      </w:pPr>
    </w:p>
    <w:p w14:paraId="4A623F1A" w14:textId="77777777" w:rsidR="004F3C9E" w:rsidRPr="000C0E1C" w:rsidRDefault="004F3C9E" w:rsidP="004F3C9E">
      <w:pPr>
        <w:spacing w:line="480" w:lineRule="auto"/>
        <w:rPr>
          <w:rStyle w:val="Titre1Car"/>
          <w:rFonts w:ascii="Times New Roman" w:eastAsia="Microsoft YaHei" w:hAnsi="Times New Roman"/>
          <w:sz w:val="24"/>
          <w:szCs w:val="24"/>
        </w:rPr>
        <w:sectPr w:rsidR="004F3C9E" w:rsidRPr="000C0E1C" w:rsidSect="00662856">
          <w:type w:val="continuous"/>
          <w:pgSz w:w="16838" w:h="11906" w:orient="landscape"/>
          <w:pgMar w:top="1440" w:right="1440" w:bottom="1440" w:left="1440" w:header="851" w:footer="992" w:gutter="0"/>
          <w:cols w:space="720"/>
          <w:docGrid w:type="linesAndChars" w:linePitch="312"/>
        </w:sectPr>
      </w:pPr>
    </w:p>
    <w:p w14:paraId="361BA2BC" w14:textId="77777777" w:rsidR="004F3C9E" w:rsidRPr="000C0E1C" w:rsidRDefault="004F3C9E" w:rsidP="004F3C9E">
      <w:pPr>
        <w:rPr>
          <w:rFonts w:eastAsia="Times New Roman"/>
          <w:sz w:val="24"/>
          <w:szCs w:val="24"/>
        </w:rPr>
      </w:pPr>
      <w:r w:rsidRPr="000C0E1C">
        <w:rPr>
          <w:rFonts w:eastAsia="Times New Roman"/>
          <w:b/>
          <w:bCs/>
          <w:sz w:val="24"/>
          <w:szCs w:val="24"/>
        </w:rPr>
        <w:lastRenderedPageBreak/>
        <w:t xml:space="preserve">Table S4. </w:t>
      </w:r>
      <w:r w:rsidRPr="000C0E1C">
        <w:rPr>
          <w:rFonts w:eastAsia="Times New Roman"/>
          <w:sz w:val="24"/>
          <w:szCs w:val="24"/>
        </w:rPr>
        <w:t>Gender distribution is different in different positions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1890"/>
        <w:gridCol w:w="1617"/>
        <w:gridCol w:w="1722"/>
        <w:gridCol w:w="1565"/>
        <w:gridCol w:w="984"/>
      </w:tblGrid>
      <w:tr w:rsidR="004F3C9E" w:rsidRPr="000C0E1C" w14:paraId="1AE7CF20" w14:textId="77777777" w:rsidTr="00662856">
        <w:tc>
          <w:tcPr>
            <w:tcW w:w="691" w:type="pct"/>
            <w:tcBorders>
              <w:bottom w:val="single" w:sz="4" w:space="0" w:color="auto"/>
            </w:tcBorders>
          </w:tcPr>
          <w:p w14:paraId="5D3EDB6A" w14:textId="77777777" w:rsidR="004F3C9E" w:rsidRPr="000C0E1C" w:rsidRDefault="004F3C9E" w:rsidP="00662856">
            <w:pPr>
              <w:widowControl w:val="0"/>
              <w:spacing w:line="480" w:lineRule="auto"/>
              <w:rPr>
                <w:sz w:val="24"/>
                <w:szCs w:val="24"/>
              </w:rPr>
            </w:pPr>
            <w:r w:rsidRPr="000C0E1C">
              <w:rPr>
                <w:sz w:val="24"/>
                <w:szCs w:val="24"/>
              </w:rPr>
              <w:t>Gender</w:t>
            </w:r>
          </w:p>
        </w:tc>
        <w:tc>
          <w:tcPr>
            <w:tcW w:w="1047" w:type="pct"/>
            <w:tcBorders>
              <w:bottom w:val="single" w:sz="4" w:space="0" w:color="auto"/>
            </w:tcBorders>
          </w:tcPr>
          <w:p w14:paraId="4F745889" w14:textId="77777777" w:rsidR="004F3C9E" w:rsidRPr="000C0E1C" w:rsidRDefault="004F3C9E" w:rsidP="00662856">
            <w:pPr>
              <w:widowControl w:val="0"/>
              <w:spacing w:line="480" w:lineRule="auto"/>
              <w:rPr>
                <w:kern w:val="0"/>
                <w:sz w:val="24"/>
                <w:szCs w:val="24"/>
              </w:rPr>
            </w:pPr>
            <w:r w:rsidRPr="000C0E1C">
              <w:rPr>
                <w:kern w:val="0"/>
                <w:sz w:val="24"/>
                <w:szCs w:val="24"/>
              </w:rPr>
              <w:t>Gynecologists</w:t>
            </w:r>
          </w:p>
          <w:p w14:paraId="3D75503E" w14:textId="77777777" w:rsidR="004F3C9E" w:rsidRPr="000C0E1C" w:rsidRDefault="004F3C9E" w:rsidP="00662856">
            <w:pPr>
              <w:widowControl w:val="0"/>
              <w:spacing w:line="480" w:lineRule="auto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</w:tcPr>
          <w:p w14:paraId="58943782" w14:textId="77777777" w:rsidR="004F3C9E" w:rsidRPr="000C0E1C" w:rsidRDefault="004F3C9E" w:rsidP="00662856">
            <w:pPr>
              <w:widowControl w:val="0"/>
              <w:spacing w:line="480" w:lineRule="auto"/>
              <w:rPr>
                <w:rFonts w:eastAsia="Times New Roman"/>
                <w:kern w:val="0"/>
                <w:sz w:val="24"/>
                <w:szCs w:val="24"/>
              </w:rPr>
            </w:pPr>
            <w:r w:rsidRPr="000C0E1C">
              <w:rPr>
                <w:kern w:val="0"/>
                <w:sz w:val="24"/>
                <w:szCs w:val="24"/>
              </w:rPr>
              <w:t>Oncologists</w:t>
            </w:r>
          </w:p>
        </w:tc>
        <w:tc>
          <w:tcPr>
            <w:tcW w:w="954" w:type="pct"/>
            <w:tcBorders>
              <w:bottom w:val="single" w:sz="4" w:space="0" w:color="auto"/>
            </w:tcBorders>
          </w:tcPr>
          <w:p w14:paraId="49226006" w14:textId="77777777" w:rsidR="004F3C9E" w:rsidRPr="000C0E1C" w:rsidRDefault="004F3C9E" w:rsidP="00662856">
            <w:pPr>
              <w:widowControl w:val="0"/>
              <w:spacing w:line="480" w:lineRule="auto"/>
              <w:rPr>
                <w:rFonts w:eastAsia="Times New Roman"/>
                <w:kern w:val="0"/>
                <w:sz w:val="24"/>
                <w:szCs w:val="24"/>
              </w:rPr>
            </w:pPr>
            <w:r w:rsidRPr="000C0E1C">
              <w:rPr>
                <w:kern w:val="0"/>
                <w:sz w:val="24"/>
                <w:szCs w:val="24"/>
              </w:rPr>
              <w:t>Gynecology nurses</w:t>
            </w:r>
          </w:p>
        </w:tc>
        <w:tc>
          <w:tcPr>
            <w:tcW w:w="867" w:type="pct"/>
            <w:tcBorders>
              <w:bottom w:val="single" w:sz="4" w:space="0" w:color="auto"/>
            </w:tcBorders>
          </w:tcPr>
          <w:p w14:paraId="46CAB24D" w14:textId="77777777" w:rsidR="004F3C9E" w:rsidRPr="000C0E1C" w:rsidRDefault="004F3C9E" w:rsidP="00662856">
            <w:pPr>
              <w:widowControl w:val="0"/>
              <w:spacing w:line="480" w:lineRule="auto"/>
              <w:rPr>
                <w:rFonts w:eastAsia="Times New Roman"/>
                <w:kern w:val="0"/>
                <w:sz w:val="24"/>
                <w:szCs w:val="24"/>
              </w:rPr>
            </w:pPr>
            <w:r w:rsidRPr="000C0E1C">
              <w:rPr>
                <w:kern w:val="0"/>
                <w:sz w:val="24"/>
                <w:szCs w:val="24"/>
              </w:rPr>
              <w:t>Oncology nurses</w:t>
            </w: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692711EE" w14:textId="77777777" w:rsidR="004F3C9E" w:rsidRPr="000C0E1C" w:rsidRDefault="004F3C9E" w:rsidP="00662856">
            <w:pPr>
              <w:widowControl w:val="0"/>
              <w:spacing w:line="480" w:lineRule="auto"/>
              <w:rPr>
                <w:kern w:val="0"/>
                <w:sz w:val="24"/>
                <w:szCs w:val="24"/>
              </w:rPr>
            </w:pPr>
            <w:r w:rsidRPr="000C0E1C">
              <w:rPr>
                <w:kern w:val="0"/>
                <w:sz w:val="24"/>
                <w:szCs w:val="24"/>
              </w:rPr>
              <w:t>P</w:t>
            </w:r>
          </w:p>
        </w:tc>
      </w:tr>
      <w:tr w:rsidR="004F3C9E" w:rsidRPr="000C0E1C" w14:paraId="3C87531E" w14:textId="77777777" w:rsidTr="00662856">
        <w:tc>
          <w:tcPr>
            <w:tcW w:w="691" w:type="pct"/>
            <w:tcBorders>
              <w:top w:val="single" w:sz="4" w:space="0" w:color="auto"/>
              <w:bottom w:val="nil"/>
            </w:tcBorders>
          </w:tcPr>
          <w:p w14:paraId="4A01B52C" w14:textId="77777777" w:rsidR="004F3C9E" w:rsidRPr="000C0E1C" w:rsidRDefault="004F3C9E" w:rsidP="00662856">
            <w:pPr>
              <w:pStyle w:val="NormalWeb"/>
              <w:rPr>
                <w:rFonts w:cs="Times New Roman"/>
                <w:szCs w:val="24"/>
              </w:rPr>
            </w:pPr>
            <w:r w:rsidRPr="000C0E1C">
              <w:rPr>
                <w:rFonts w:cs="Times New Roman"/>
                <w:szCs w:val="24"/>
              </w:rPr>
              <w:t xml:space="preserve">Male </w:t>
            </w:r>
          </w:p>
        </w:tc>
        <w:tc>
          <w:tcPr>
            <w:tcW w:w="1047" w:type="pct"/>
            <w:tcBorders>
              <w:top w:val="single" w:sz="4" w:space="0" w:color="auto"/>
              <w:bottom w:val="nil"/>
            </w:tcBorders>
          </w:tcPr>
          <w:p w14:paraId="3E903BD1" w14:textId="77777777" w:rsidR="004F3C9E" w:rsidRPr="000C0E1C" w:rsidRDefault="004F3C9E" w:rsidP="00662856">
            <w:pPr>
              <w:pStyle w:val="NormalWeb"/>
              <w:rPr>
                <w:rFonts w:cs="Times New Roman"/>
                <w:kern w:val="0"/>
                <w:szCs w:val="24"/>
              </w:rPr>
            </w:pPr>
            <w:r w:rsidRPr="000C0E1C">
              <w:rPr>
                <w:rFonts w:cs="Times New Roman"/>
                <w:kern w:val="0"/>
                <w:szCs w:val="24"/>
              </w:rPr>
              <w:t>73 (34.93%)</w:t>
            </w:r>
          </w:p>
        </w:tc>
        <w:tc>
          <w:tcPr>
            <w:tcW w:w="896" w:type="pct"/>
            <w:tcBorders>
              <w:top w:val="single" w:sz="4" w:space="0" w:color="auto"/>
              <w:bottom w:val="nil"/>
            </w:tcBorders>
          </w:tcPr>
          <w:p w14:paraId="3E538ACE" w14:textId="77777777" w:rsidR="004F3C9E" w:rsidRPr="000C0E1C" w:rsidRDefault="004F3C9E" w:rsidP="00662856">
            <w:pPr>
              <w:pStyle w:val="NormalWeb"/>
              <w:rPr>
                <w:rFonts w:cs="Times New Roman"/>
                <w:kern w:val="0"/>
                <w:szCs w:val="24"/>
              </w:rPr>
            </w:pPr>
            <w:r w:rsidRPr="000C0E1C">
              <w:rPr>
                <w:rFonts w:cs="Times New Roman"/>
                <w:kern w:val="0"/>
                <w:szCs w:val="24"/>
              </w:rPr>
              <w:t>68 (57.63%)</w:t>
            </w:r>
          </w:p>
        </w:tc>
        <w:tc>
          <w:tcPr>
            <w:tcW w:w="954" w:type="pct"/>
            <w:tcBorders>
              <w:top w:val="single" w:sz="4" w:space="0" w:color="auto"/>
              <w:bottom w:val="nil"/>
            </w:tcBorders>
          </w:tcPr>
          <w:p w14:paraId="2600DE6C" w14:textId="77777777" w:rsidR="004F3C9E" w:rsidRPr="000C0E1C" w:rsidRDefault="004F3C9E" w:rsidP="00662856">
            <w:pPr>
              <w:pStyle w:val="NormalWeb"/>
              <w:rPr>
                <w:rFonts w:cs="Times New Roman"/>
                <w:kern w:val="0"/>
                <w:szCs w:val="24"/>
              </w:rPr>
            </w:pPr>
            <w:r w:rsidRPr="000C0E1C">
              <w:rPr>
                <w:rFonts w:cs="Times New Roman"/>
                <w:kern w:val="0"/>
                <w:szCs w:val="24"/>
              </w:rPr>
              <w:t>14 (16.67%)</w:t>
            </w:r>
          </w:p>
        </w:tc>
        <w:tc>
          <w:tcPr>
            <w:tcW w:w="867" w:type="pct"/>
            <w:tcBorders>
              <w:top w:val="single" w:sz="4" w:space="0" w:color="auto"/>
              <w:bottom w:val="nil"/>
            </w:tcBorders>
          </w:tcPr>
          <w:p w14:paraId="0A61AA0F" w14:textId="77777777" w:rsidR="004F3C9E" w:rsidRPr="000C0E1C" w:rsidRDefault="004F3C9E" w:rsidP="00662856">
            <w:pPr>
              <w:pStyle w:val="NormalWeb"/>
              <w:rPr>
                <w:rFonts w:cs="Times New Roman"/>
                <w:kern w:val="0"/>
                <w:szCs w:val="24"/>
              </w:rPr>
            </w:pPr>
            <w:r w:rsidRPr="000C0E1C">
              <w:rPr>
                <w:rFonts w:cs="Times New Roman"/>
                <w:kern w:val="0"/>
                <w:szCs w:val="24"/>
              </w:rPr>
              <w:t>27 (25.71%)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bottom w:val="nil"/>
            </w:tcBorders>
          </w:tcPr>
          <w:p w14:paraId="5FC5A63D" w14:textId="77777777" w:rsidR="004F3C9E" w:rsidRPr="000C0E1C" w:rsidRDefault="004F3C9E" w:rsidP="00662856">
            <w:pPr>
              <w:widowControl w:val="0"/>
              <w:spacing w:line="480" w:lineRule="auto"/>
              <w:rPr>
                <w:rFonts w:eastAsia="Times New Roman"/>
                <w:kern w:val="0"/>
                <w:sz w:val="24"/>
                <w:szCs w:val="24"/>
              </w:rPr>
            </w:pPr>
            <w:r w:rsidRPr="000C0E1C">
              <w:rPr>
                <w:rFonts w:eastAsia="Times New Roman"/>
                <w:kern w:val="0"/>
                <w:sz w:val="24"/>
                <w:szCs w:val="24"/>
              </w:rPr>
              <w:t>&lt;0.001</w:t>
            </w:r>
          </w:p>
        </w:tc>
      </w:tr>
      <w:tr w:rsidR="004F3C9E" w:rsidRPr="000C0E1C" w14:paraId="6C5174F8" w14:textId="77777777" w:rsidTr="00662856">
        <w:tc>
          <w:tcPr>
            <w:tcW w:w="691" w:type="pct"/>
            <w:tcBorders>
              <w:top w:val="nil"/>
            </w:tcBorders>
          </w:tcPr>
          <w:p w14:paraId="2E8C8163" w14:textId="77777777" w:rsidR="004F3C9E" w:rsidRPr="000C0E1C" w:rsidRDefault="004F3C9E" w:rsidP="00662856">
            <w:pPr>
              <w:pStyle w:val="NormalWeb"/>
              <w:rPr>
                <w:rFonts w:cs="Times New Roman"/>
                <w:szCs w:val="24"/>
              </w:rPr>
            </w:pPr>
            <w:r w:rsidRPr="000C0E1C">
              <w:rPr>
                <w:rFonts w:cs="Times New Roman"/>
                <w:szCs w:val="24"/>
              </w:rPr>
              <w:t xml:space="preserve">Female </w:t>
            </w:r>
          </w:p>
        </w:tc>
        <w:tc>
          <w:tcPr>
            <w:tcW w:w="1047" w:type="pct"/>
            <w:tcBorders>
              <w:top w:val="nil"/>
            </w:tcBorders>
          </w:tcPr>
          <w:p w14:paraId="5F4C847C" w14:textId="77777777" w:rsidR="004F3C9E" w:rsidRPr="000C0E1C" w:rsidRDefault="004F3C9E" w:rsidP="00662856">
            <w:pPr>
              <w:widowControl w:val="0"/>
              <w:spacing w:line="480" w:lineRule="auto"/>
              <w:rPr>
                <w:rFonts w:eastAsia="Times New Roman"/>
                <w:kern w:val="0"/>
                <w:sz w:val="24"/>
                <w:szCs w:val="24"/>
              </w:rPr>
            </w:pPr>
            <w:r w:rsidRPr="000C0E1C">
              <w:rPr>
                <w:rFonts w:eastAsia="Times New Roman"/>
                <w:kern w:val="0"/>
                <w:sz w:val="24"/>
                <w:szCs w:val="24"/>
              </w:rPr>
              <w:t>136 (65.07%)</w:t>
            </w:r>
          </w:p>
        </w:tc>
        <w:tc>
          <w:tcPr>
            <w:tcW w:w="896" w:type="pct"/>
            <w:tcBorders>
              <w:top w:val="nil"/>
            </w:tcBorders>
          </w:tcPr>
          <w:p w14:paraId="15837ADE" w14:textId="77777777" w:rsidR="004F3C9E" w:rsidRPr="000C0E1C" w:rsidRDefault="004F3C9E" w:rsidP="00662856">
            <w:pPr>
              <w:widowControl w:val="0"/>
              <w:spacing w:line="480" w:lineRule="auto"/>
              <w:rPr>
                <w:rFonts w:eastAsia="Times New Roman"/>
                <w:kern w:val="0"/>
                <w:sz w:val="24"/>
                <w:szCs w:val="24"/>
              </w:rPr>
            </w:pPr>
            <w:r w:rsidRPr="000C0E1C">
              <w:rPr>
                <w:rFonts w:eastAsia="Times New Roman"/>
                <w:kern w:val="0"/>
                <w:sz w:val="24"/>
                <w:szCs w:val="24"/>
              </w:rPr>
              <w:t>50 (42.37%)</w:t>
            </w:r>
          </w:p>
        </w:tc>
        <w:tc>
          <w:tcPr>
            <w:tcW w:w="954" w:type="pct"/>
            <w:tcBorders>
              <w:top w:val="nil"/>
            </w:tcBorders>
          </w:tcPr>
          <w:p w14:paraId="700D46C0" w14:textId="77777777" w:rsidR="004F3C9E" w:rsidRPr="000C0E1C" w:rsidRDefault="004F3C9E" w:rsidP="00662856">
            <w:pPr>
              <w:widowControl w:val="0"/>
              <w:spacing w:line="480" w:lineRule="auto"/>
              <w:rPr>
                <w:rFonts w:eastAsia="Times New Roman"/>
                <w:kern w:val="0"/>
                <w:sz w:val="24"/>
                <w:szCs w:val="24"/>
              </w:rPr>
            </w:pPr>
            <w:r w:rsidRPr="000C0E1C">
              <w:rPr>
                <w:rFonts w:eastAsia="Times New Roman"/>
                <w:kern w:val="0"/>
                <w:sz w:val="24"/>
                <w:szCs w:val="24"/>
              </w:rPr>
              <w:t>70 (83.33%)</w:t>
            </w:r>
          </w:p>
        </w:tc>
        <w:tc>
          <w:tcPr>
            <w:tcW w:w="867" w:type="pct"/>
            <w:tcBorders>
              <w:top w:val="nil"/>
            </w:tcBorders>
          </w:tcPr>
          <w:p w14:paraId="4860251E" w14:textId="77777777" w:rsidR="004F3C9E" w:rsidRPr="000C0E1C" w:rsidRDefault="004F3C9E" w:rsidP="00662856">
            <w:pPr>
              <w:pStyle w:val="NormalWeb"/>
              <w:rPr>
                <w:rFonts w:cs="Times New Roman"/>
                <w:kern w:val="0"/>
                <w:szCs w:val="24"/>
              </w:rPr>
            </w:pPr>
            <w:r w:rsidRPr="000C0E1C">
              <w:rPr>
                <w:rFonts w:cs="Times New Roman"/>
                <w:kern w:val="0"/>
                <w:szCs w:val="24"/>
              </w:rPr>
              <w:t>78 (74.29%)</w:t>
            </w:r>
          </w:p>
        </w:tc>
        <w:tc>
          <w:tcPr>
            <w:tcW w:w="546" w:type="pct"/>
            <w:vMerge/>
            <w:tcBorders>
              <w:top w:val="nil"/>
            </w:tcBorders>
          </w:tcPr>
          <w:p w14:paraId="2B7CC2FF" w14:textId="77777777" w:rsidR="004F3C9E" w:rsidRPr="000C0E1C" w:rsidRDefault="004F3C9E" w:rsidP="00662856">
            <w:pPr>
              <w:widowControl w:val="0"/>
              <w:spacing w:line="480" w:lineRule="auto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</w:tbl>
    <w:p w14:paraId="0C01411D" w14:textId="77777777" w:rsidR="000C0E1C" w:rsidRDefault="000C0E1C" w:rsidP="004F3C9E">
      <w:pPr>
        <w:rPr>
          <w:rFonts w:eastAsia="Times New Roman"/>
          <w:b/>
          <w:bCs/>
          <w:sz w:val="24"/>
          <w:szCs w:val="24"/>
        </w:rPr>
      </w:pPr>
    </w:p>
    <w:p w14:paraId="272BA21F" w14:textId="77777777" w:rsidR="000C0E1C" w:rsidRDefault="000C0E1C">
      <w:pPr>
        <w:jc w:val="left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br w:type="page"/>
      </w:r>
    </w:p>
    <w:p w14:paraId="4FF735A9" w14:textId="77777777" w:rsidR="004F3C9E" w:rsidRPr="000C0E1C" w:rsidRDefault="004F3C9E" w:rsidP="004F3C9E">
      <w:pPr>
        <w:rPr>
          <w:rFonts w:eastAsia="Times New Roman"/>
          <w:sz w:val="24"/>
          <w:szCs w:val="24"/>
        </w:rPr>
      </w:pPr>
      <w:r w:rsidRPr="000C0E1C">
        <w:rPr>
          <w:rFonts w:eastAsia="Times New Roman"/>
          <w:b/>
          <w:bCs/>
          <w:sz w:val="24"/>
          <w:szCs w:val="24"/>
        </w:rPr>
        <w:lastRenderedPageBreak/>
        <w:t>Table S5.</w:t>
      </w:r>
      <w:r w:rsidRPr="000C0E1C">
        <w:rPr>
          <w:rFonts w:eastAsia="Times New Roman"/>
          <w:sz w:val="24"/>
          <w:szCs w:val="24"/>
        </w:rPr>
        <w:t xml:space="preserve"> Gender practice score differences between men and women in different positions</w:t>
      </w:r>
    </w:p>
    <w:tbl>
      <w:tblPr>
        <w:tblW w:w="0" w:type="auto"/>
        <w:tblInd w:w="11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711"/>
        <w:gridCol w:w="1606"/>
        <w:gridCol w:w="1559"/>
        <w:gridCol w:w="1418"/>
      </w:tblGrid>
      <w:tr w:rsidR="004F3C9E" w:rsidRPr="000C0E1C" w14:paraId="7AD13C9D" w14:textId="77777777" w:rsidTr="000C0E1C">
        <w:tc>
          <w:tcPr>
            <w:tcW w:w="1356" w:type="dxa"/>
            <w:tcBorders>
              <w:bottom w:val="single" w:sz="4" w:space="0" w:color="auto"/>
            </w:tcBorders>
          </w:tcPr>
          <w:p w14:paraId="59D26949" w14:textId="77777777" w:rsidR="004F3C9E" w:rsidRPr="000C0E1C" w:rsidRDefault="004F3C9E" w:rsidP="00BD06C4">
            <w:pPr>
              <w:widowControl w:val="0"/>
              <w:rPr>
                <w:sz w:val="24"/>
                <w:szCs w:val="24"/>
              </w:rPr>
            </w:pPr>
            <w:r w:rsidRPr="000C0E1C">
              <w:rPr>
                <w:sz w:val="24"/>
                <w:szCs w:val="24"/>
              </w:rPr>
              <w:t>Gender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14:paraId="781E0E00" w14:textId="77777777" w:rsidR="004F3C9E" w:rsidRPr="000C0E1C" w:rsidRDefault="004F3C9E" w:rsidP="00BD06C4">
            <w:pPr>
              <w:widowControl w:val="0"/>
              <w:spacing w:line="260" w:lineRule="atLeast"/>
              <w:rPr>
                <w:rFonts w:eastAsia="Times New Roman"/>
                <w:kern w:val="0"/>
                <w:sz w:val="24"/>
                <w:szCs w:val="24"/>
              </w:rPr>
            </w:pPr>
            <w:r w:rsidRPr="000C0E1C">
              <w:rPr>
                <w:kern w:val="0"/>
                <w:sz w:val="24"/>
                <w:szCs w:val="24"/>
              </w:rPr>
              <w:t>Gynecologists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340C1933" w14:textId="77777777" w:rsidR="004F3C9E" w:rsidRPr="000C0E1C" w:rsidRDefault="004F3C9E" w:rsidP="00BD06C4">
            <w:pPr>
              <w:widowControl w:val="0"/>
              <w:spacing w:line="260" w:lineRule="atLeast"/>
              <w:rPr>
                <w:rFonts w:eastAsia="Times New Roman"/>
                <w:kern w:val="0"/>
                <w:sz w:val="24"/>
                <w:szCs w:val="24"/>
              </w:rPr>
            </w:pPr>
            <w:r w:rsidRPr="000C0E1C">
              <w:rPr>
                <w:kern w:val="0"/>
                <w:sz w:val="24"/>
                <w:szCs w:val="24"/>
              </w:rPr>
              <w:t>Oncologists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F2F9577" w14:textId="77777777" w:rsidR="004F3C9E" w:rsidRPr="000C0E1C" w:rsidRDefault="004F3C9E" w:rsidP="00BD06C4">
            <w:pPr>
              <w:widowControl w:val="0"/>
              <w:spacing w:line="260" w:lineRule="atLeast"/>
              <w:rPr>
                <w:rFonts w:eastAsia="Times New Roman"/>
                <w:kern w:val="0"/>
                <w:sz w:val="24"/>
                <w:szCs w:val="24"/>
              </w:rPr>
            </w:pPr>
            <w:r w:rsidRPr="000C0E1C">
              <w:rPr>
                <w:kern w:val="0"/>
                <w:sz w:val="24"/>
                <w:szCs w:val="24"/>
              </w:rPr>
              <w:t>Gynecology nurses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F85CB32" w14:textId="77777777" w:rsidR="004F3C9E" w:rsidRPr="000C0E1C" w:rsidRDefault="004F3C9E" w:rsidP="00BD06C4">
            <w:pPr>
              <w:widowControl w:val="0"/>
              <w:spacing w:line="260" w:lineRule="atLeast"/>
              <w:rPr>
                <w:rFonts w:eastAsia="Times New Roman"/>
                <w:kern w:val="0"/>
                <w:sz w:val="24"/>
                <w:szCs w:val="24"/>
              </w:rPr>
            </w:pPr>
            <w:r w:rsidRPr="000C0E1C">
              <w:rPr>
                <w:kern w:val="0"/>
                <w:sz w:val="24"/>
                <w:szCs w:val="24"/>
              </w:rPr>
              <w:t>Oncology nurses</w:t>
            </w:r>
          </w:p>
        </w:tc>
      </w:tr>
      <w:tr w:rsidR="004F3C9E" w:rsidRPr="000C0E1C" w14:paraId="762EDF19" w14:textId="77777777" w:rsidTr="000C0E1C">
        <w:tc>
          <w:tcPr>
            <w:tcW w:w="1356" w:type="dxa"/>
            <w:tcBorders>
              <w:top w:val="single" w:sz="4" w:space="0" w:color="auto"/>
              <w:bottom w:val="nil"/>
            </w:tcBorders>
          </w:tcPr>
          <w:p w14:paraId="480F5230" w14:textId="77777777" w:rsidR="004F3C9E" w:rsidRPr="000C0E1C" w:rsidRDefault="004F3C9E" w:rsidP="00BD06C4">
            <w:pPr>
              <w:pStyle w:val="NormalWeb"/>
              <w:rPr>
                <w:rFonts w:cs="Times New Roman"/>
                <w:szCs w:val="24"/>
              </w:rPr>
            </w:pPr>
            <w:r w:rsidRPr="000C0E1C">
              <w:rPr>
                <w:rFonts w:cs="Times New Roman"/>
                <w:szCs w:val="24"/>
              </w:rPr>
              <w:t>Male</w:t>
            </w: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  <w:vAlign w:val="center"/>
          </w:tcPr>
          <w:p w14:paraId="0ED0DEB9" w14:textId="77777777" w:rsidR="004F3C9E" w:rsidRPr="000C0E1C" w:rsidRDefault="004F3C9E" w:rsidP="00BD06C4">
            <w:pPr>
              <w:widowControl w:val="0"/>
              <w:spacing w:line="260" w:lineRule="atLeast"/>
              <w:rPr>
                <w:rFonts w:eastAsia="Times New Roman"/>
                <w:kern w:val="0"/>
                <w:sz w:val="24"/>
                <w:szCs w:val="24"/>
              </w:rPr>
            </w:pPr>
            <w:r w:rsidRPr="000C0E1C">
              <w:rPr>
                <w:rFonts w:eastAsia="Times New Roman"/>
                <w:kern w:val="0"/>
                <w:sz w:val="24"/>
                <w:szCs w:val="24"/>
              </w:rPr>
              <w:t>30 (25,41)</w:t>
            </w:r>
          </w:p>
        </w:tc>
        <w:tc>
          <w:tcPr>
            <w:tcW w:w="1606" w:type="dxa"/>
            <w:tcBorders>
              <w:top w:val="single" w:sz="4" w:space="0" w:color="auto"/>
              <w:bottom w:val="nil"/>
            </w:tcBorders>
            <w:vAlign w:val="center"/>
          </w:tcPr>
          <w:p w14:paraId="7DFD062B" w14:textId="77777777" w:rsidR="004F3C9E" w:rsidRPr="000C0E1C" w:rsidRDefault="004F3C9E" w:rsidP="00BD06C4">
            <w:pPr>
              <w:widowControl w:val="0"/>
              <w:spacing w:line="260" w:lineRule="atLeast"/>
              <w:rPr>
                <w:rFonts w:eastAsia="Times New Roman"/>
                <w:kern w:val="0"/>
                <w:sz w:val="24"/>
                <w:szCs w:val="24"/>
              </w:rPr>
            </w:pPr>
            <w:r w:rsidRPr="000C0E1C">
              <w:rPr>
                <w:rFonts w:eastAsia="Times New Roman"/>
                <w:kern w:val="0"/>
                <w:sz w:val="24"/>
                <w:szCs w:val="24"/>
              </w:rPr>
              <w:t>30 (26,37.5)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14:paraId="6EE28AD7" w14:textId="77777777" w:rsidR="004F3C9E" w:rsidRPr="000C0E1C" w:rsidRDefault="004F3C9E" w:rsidP="00BD06C4">
            <w:pPr>
              <w:widowControl w:val="0"/>
              <w:spacing w:line="260" w:lineRule="atLeast"/>
              <w:rPr>
                <w:rFonts w:eastAsia="Times New Roman"/>
                <w:kern w:val="0"/>
                <w:sz w:val="24"/>
                <w:szCs w:val="24"/>
              </w:rPr>
            </w:pPr>
            <w:r w:rsidRPr="000C0E1C">
              <w:rPr>
                <w:rFonts w:eastAsia="Times New Roman"/>
                <w:kern w:val="0"/>
                <w:sz w:val="24"/>
                <w:szCs w:val="24"/>
              </w:rPr>
              <w:t>44.5 (42,46)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14:paraId="03F5579D" w14:textId="77777777" w:rsidR="004F3C9E" w:rsidRPr="000C0E1C" w:rsidRDefault="004F3C9E" w:rsidP="00BD06C4">
            <w:pPr>
              <w:widowControl w:val="0"/>
              <w:spacing w:line="260" w:lineRule="atLeast"/>
              <w:rPr>
                <w:rFonts w:eastAsia="Times New Roman"/>
                <w:kern w:val="0"/>
                <w:sz w:val="24"/>
                <w:szCs w:val="24"/>
              </w:rPr>
            </w:pPr>
            <w:r w:rsidRPr="000C0E1C">
              <w:rPr>
                <w:rFonts w:eastAsia="Times New Roman"/>
                <w:kern w:val="0"/>
                <w:sz w:val="24"/>
                <w:szCs w:val="24"/>
              </w:rPr>
              <w:t>43 (32,46)</w:t>
            </w:r>
          </w:p>
        </w:tc>
      </w:tr>
      <w:tr w:rsidR="004F3C9E" w:rsidRPr="000C0E1C" w14:paraId="2FDD7037" w14:textId="77777777" w:rsidTr="000C0E1C">
        <w:tc>
          <w:tcPr>
            <w:tcW w:w="1356" w:type="dxa"/>
            <w:tcBorders>
              <w:top w:val="nil"/>
            </w:tcBorders>
          </w:tcPr>
          <w:p w14:paraId="7F31C3B4" w14:textId="77777777" w:rsidR="004F3C9E" w:rsidRPr="000C0E1C" w:rsidRDefault="004F3C9E" w:rsidP="00BD06C4">
            <w:pPr>
              <w:pStyle w:val="NormalWeb"/>
              <w:rPr>
                <w:rFonts w:cs="Times New Roman"/>
                <w:szCs w:val="24"/>
              </w:rPr>
            </w:pPr>
            <w:r w:rsidRPr="000C0E1C">
              <w:rPr>
                <w:rFonts w:cs="Times New Roman"/>
                <w:szCs w:val="24"/>
              </w:rPr>
              <w:t>Female</w:t>
            </w:r>
          </w:p>
        </w:tc>
        <w:tc>
          <w:tcPr>
            <w:tcW w:w="1711" w:type="dxa"/>
            <w:tcBorders>
              <w:top w:val="nil"/>
            </w:tcBorders>
            <w:vAlign w:val="center"/>
          </w:tcPr>
          <w:p w14:paraId="332DD9E3" w14:textId="77777777" w:rsidR="004F3C9E" w:rsidRPr="000C0E1C" w:rsidRDefault="004F3C9E" w:rsidP="00BD06C4">
            <w:pPr>
              <w:widowControl w:val="0"/>
              <w:spacing w:line="260" w:lineRule="atLeast"/>
              <w:rPr>
                <w:rFonts w:eastAsia="Times New Roman"/>
                <w:kern w:val="0"/>
                <w:sz w:val="24"/>
                <w:szCs w:val="24"/>
              </w:rPr>
            </w:pPr>
            <w:r w:rsidRPr="000C0E1C">
              <w:rPr>
                <w:rFonts w:eastAsia="Times New Roman"/>
                <w:kern w:val="0"/>
                <w:sz w:val="24"/>
                <w:szCs w:val="24"/>
              </w:rPr>
              <w:t>43 (34.5,48)</w:t>
            </w:r>
          </w:p>
        </w:tc>
        <w:tc>
          <w:tcPr>
            <w:tcW w:w="1606" w:type="dxa"/>
            <w:tcBorders>
              <w:top w:val="nil"/>
            </w:tcBorders>
            <w:vAlign w:val="center"/>
          </w:tcPr>
          <w:p w14:paraId="010C98EF" w14:textId="77777777" w:rsidR="004F3C9E" w:rsidRPr="000C0E1C" w:rsidRDefault="004F3C9E" w:rsidP="00BD06C4">
            <w:pPr>
              <w:pStyle w:val="NormalWeb"/>
              <w:spacing w:line="260" w:lineRule="atLeast"/>
              <w:rPr>
                <w:rFonts w:cs="Times New Roman"/>
                <w:kern w:val="0"/>
                <w:szCs w:val="24"/>
              </w:rPr>
            </w:pPr>
            <w:r w:rsidRPr="000C0E1C">
              <w:rPr>
                <w:rFonts w:cs="Times New Roman"/>
                <w:kern w:val="0"/>
                <w:szCs w:val="24"/>
              </w:rPr>
              <w:t>34 (30,43)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5B53B687" w14:textId="77777777" w:rsidR="004F3C9E" w:rsidRPr="000C0E1C" w:rsidRDefault="004F3C9E" w:rsidP="00BD06C4">
            <w:pPr>
              <w:widowControl w:val="0"/>
              <w:spacing w:line="260" w:lineRule="atLeast"/>
              <w:rPr>
                <w:rFonts w:eastAsia="Times New Roman"/>
                <w:kern w:val="0"/>
                <w:sz w:val="24"/>
                <w:szCs w:val="24"/>
              </w:rPr>
            </w:pPr>
            <w:r w:rsidRPr="000C0E1C">
              <w:rPr>
                <w:rFonts w:eastAsia="Times New Roman"/>
                <w:kern w:val="0"/>
                <w:sz w:val="24"/>
                <w:szCs w:val="24"/>
              </w:rPr>
              <w:t>41.5 (33,49)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358E519B" w14:textId="77777777" w:rsidR="004F3C9E" w:rsidRPr="000C0E1C" w:rsidRDefault="004F3C9E" w:rsidP="00BD06C4">
            <w:pPr>
              <w:pStyle w:val="NormalWeb"/>
              <w:spacing w:line="260" w:lineRule="atLeast"/>
              <w:rPr>
                <w:rFonts w:cs="Times New Roman"/>
                <w:kern w:val="0"/>
                <w:szCs w:val="24"/>
              </w:rPr>
            </w:pPr>
            <w:r w:rsidRPr="000C0E1C">
              <w:rPr>
                <w:rFonts w:cs="Times New Roman"/>
                <w:kern w:val="0"/>
                <w:szCs w:val="24"/>
              </w:rPr>
              <w:t>37 (28,46)</w:t>
            </w:r>
          </w:p>
        </w:tc>
      </w:tr>
      <w:tr w:rsidR="004F3C9E" w:rsidRPr="000C0E1C" w14:paraId="09CFE20E" w14:textId="77777777" w:rsidTr="000C0E1C">
        <w:tc>
          <w:tcPr>
            <w:tcW w:w="1356" w:type="dxa"/>
          </w:tcPr>
          <w:p w14:paraId="5D26BDB4" w14:textId="77777777" w:rsidR="004F3C9E" w:rsidRPr="000C0E1C" w:rsidRDefault="004F3C9E" w:rsidP="00BD06C4">
            <w:pPr>
              <w:widowControl w:val="0"/>
              <w:rPr>
                <w:sz w:val="24"/>
                <w:szCs w:val="24"/>
              </w:rPr>
            </w:pPr>
            <w:r w:rsidRPr="000C0E1C">
              <w:rPr>
                <w:sz w:val="24"/>
                <w:szCs w:val="24"/>
              </w:rPr>
              <w:t>P</w:t>
            </w:r>
          </w:p>
        </w:tc>
        <w:tc>
          <w:tcPr>
            <w:tcW w:w="1711" w:type="dxa"/>
          </w:tcPr>
          <w:p w14:paraId="3248866C" w14:textId="77777777" w:rsidR="004F3C9E" w:rsidRPr="000C0E1C" w:rsidRDefault="004F3C9E" w:rsidP="00BD06C4">
            <w:pPr>
              <w:widowControl w:val="0"/>
              <w:spacing w:line="260" w:lineRule="atLeast"/>
              <w:rPr>
                <w:rFonts w:eastAsia="Times New Roman"/>
                <w:kern w:val="0"/>
                <w:sz w:val="24"/>
                <w:szCs w:val="24"/>
              </w:rPr>
            </w:pPr>
            <w:r w:rsidRPr="000C0E1C">
              <w:rPr>
                <w:rFonts w:eastAsia="Times New Roman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1606" w:type="dxa"/>
          </w:tcPr>
          <w:p w14:paraId="2359A385" w14:textId="77777777" w:rsidR="004F3C9E" w:rsidRPr="000C0E1C" w:rsidRDefault="004F3C9E" w:rsidP="00BD06C4">
            <w:pPr>
              <w:widowControl w:val="0"/>
              <w:spacing w:line="260" w:lineRule="atLeast"/>
              <w:rPr>
                <w:rFonts w:eastAsia="Times New Roman"/>
                <w:kern w:val="0"/>
                <w:sz w:val="24"/>
                <w:szCs w:val="24"/>
              </w:rPr>
            </w:pPr>
            <w:r w:rsidRPr="000C0E1C">
              <w:rPr>
                <w:rFonts w:eastAsia="Times New Roman"/>
                <w:kern w:val="0"/>
                <w:sz w:val="24"/>
                <w:szCs w:val="24"/>
              </w:rPr>
              <w:t>0.003</w:t>
            </w:r>
          </w:p>
        </w:tc>
        <w:tc>
          <w:tcPr>
            <w:tcW w:w="1559" w:type="dxa"/>
          </w:tcPr>
          <w:p w14:paraId="40E2E754" w14:textId="77777777" w:rsidR="004F3C9E" w:rsidRPr="000C0E1C" w:rsidRDefault="004F3C9E" w:rsidP="00BD06C4">
            <w:pPr>
              <w:widowControl w:val="0"/>
              <w:spacing w:line="260" w:lineRule="atLeast"/>
              <w:rPr>
                <w:rFonts w:eastAsia="Times New Roman"/>
                <w:kern w:val="0"/>
                <w:sz w:val="24"/>
                <w:szCs w:val="24"/>
              </w:rPr>
            </w:pPr>
            <w:r w:rsidRPr="000C0E1C">
              <w:rPr>
                <w:rFonts w:eastAsia="Times New Roman"/>
                <w:kern w:val="0"/>
                <w:sz w:val="24"/>
                <w:szCs w:val="24"/>
              </w:rPr>
              <w:t>0.219</w:t>
            </w:r>
          </w:p>
        </w:tc>
        <w:tc>
          <w:tcPr>
            <w:tcW w:w="1418" w:type="dxa"/>
          </w:tcPr>
          <w:p w14:paraId="5BD15C54" w14:textId="77777777" w:rsidR="004F3C9E" w:rsidRPr="000C0E1C" w:rsidRDefault="004F3C9E" w:rsidP="00BD06C4">
            <w:pPr>
              <w:widowControl w:val="0"/>
              <w:spacing w:line="260" w:lineRule="atLeast"/>
              <w:rPr>
                <w:rFonts w:eastAsia="Times New Roman"/>
                <w:kern w:val="0"/>
                <w:sz w:val="24"/>
                <w:szCs w:val="24"/>
              </w:rPr>
            </w:pPr>
            <w:r w:rsidRPr="000C0E1C">
              <w:rPr>
                <w:rFonts w:eastAsia="Times New Roman"/>
                <w:kern w:val="0"/>
                <w:sz w:val="24"/>
                <w:szCs w:val="24"/>
              </w:rPr>
              <w:t>0.266</w:t>
            </w:r>
          </w:p>
        </w:tc>
      </w:tr>
    </w:tbl>
    <w:p w14:paraId="071FD6E8" w14:textId="77777777" w:rsidR="00291E64" w:rsidRPr="000C0E1C" w:rsidRDefault="00291E64" w:rsidP="004F3C9E">
      <w:pPr>
        <w:rPr>
          <w:sz w:val="24"/>
          <w:szCs w:val="24"/>
        </w:rPr>
      </w:pPr>
    </w:p>
    <w:p w14:paraId="6B842F03" w14:textId="77777777" w:rsidR="004F3C9E" w:rsidRPr="000C0E1C" w:rsidRDefault="004F3C9E" w:rsidP="004F3C9E">
      <w:pPr>
        <w:rPr>
          <w:sz w:val="24"/>
          <w:szCs w:val="24"/>
        </w:rPr>
      </w:pPr>
    </w:p>
    <w:p w14:paraId="490C70CA" w14:textId="77777777" w:rsidR="000C0E1C" w:rsidRDefault="000C0E1C">
      <w:pPr>
        <w:jc w:val="left"/>
        <w:rPr>
          <w:rStyle w:val="Titre1Car"/>
          <w:rFonts w:ascii="Times New Roman" w:eastAsia="Microsoft YaHei" w:hAnsi="Times New Roman"/>
          <w:sz w:val="24"/>
          <w:szCs w:val="24"/>
        </w:rPr>
      </w:pPr>
      <w:r>
        <w:rPr>
          <w:rStyle w:val="Titre1Car"/>
          <w:rFonts w:ascii="Times New Roman" w:eastAsia="Microsoft YaHei" w:hAnsi="Times New Roman"/>
          <w:sz w:val="24"/>
          <w:szCs w:val="24"/>
        </w:rPr>
        <w:br w:type="page"/>
      </w:r>
    </w:p>
    <w:p w14:paraId="7D4FC208" w14:textId="77777777" w:rsidR="004F3C9E" w:rsidRPr="000C0E1C" w:rsidRDefault="004F3C9E" w:rsidP="004F3C9E">
      <w:pPr>
        <w:spacing w:line="480" w:lineRule="auto"/>
        <w:rPr>
          <w:rStyle w:val="Titre1Car"/>
          <w:rFonts w:ascii="Times New Roman" w:eastAsia="Microsoft YaHei" w:hAnsi="Times New Roman"/>
          <w:b w:val="0"/>
          <w:bCs w:val="0"/>
          <w:sz w:val="24"/>
          <w:szCs w:val="24"/>
        </w:rPr>
      </w:pPr>
      <w:r w:rsidRPr="000C0E1C">
        <w:rPr>
          <w:rStyle w:val="Titre1Car"/>
          <w:rFonts w:ascii="Times New Roman" w:eastAsia="Microsoft YaHei" w:hAnsi="Times New Roman"/>
          <w:sz w:val="24"/>
          <w:szCs w:val="24"/>
        </w:rPr>
        <w:lastRenderedPageBreak/>
        <w:t xml:space="preserve">Table S6. </w:t>
      </w:r>
      <w:r w:rsidRPr="000C0E1C">
        <w:rPr>
          <w:rStyle w:val="Titre1Car"/>
          <w:rFonts w:ascii="Times New Roman" w:eastAsia="Microsoft YaHei" w:hAnsi="Times New Roman"/>
          <w:b w:val="0"/>
          <w:bCs w:val="0"/>
          <w:sz w:val="24"/>
          <w:szCs w:val="24"/>
        </w:rPr>
        <w:t>Correlation analysis of KAP scores.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258"/>
        <w:gridCol w:w="2258"/>
        <w:gridCol w:w="2256"/>
        <w:gridCol w:w="2254"/>
      </w:tblGrid>
      <w:tr w:rsidR="004F3C9E" w:rsidRPr="000C0E1C" w14:paraId="7CBBB389" w14:textId="77777777" w:rsidTr="000C0E1C">
        <w:tc>
          <w:tcPr>
            <w:tcW w:w="2268" w:type="dxa"/>
            <w:tcBorders>
              <w:bottom w:val="single" w:sz="4" w:space="0" w:color="auto"/>
            </w:tcBorders>
          </w:tcPr>
          <w:p w14:paraId="77D3A623" w14:textId="77777777" w:rsidR="004F3C9E" w:rsidRPr="000C0E1C" w:rsidRDefault="004F3C9E" w:rsidP="00BD06C4">
            <w:pPr>
              <w:widowControl w:val="0"/>
              <w:spacing w:line="480" w:lineRule="auto"/>
              <w:rPr>
                <w:rFonts w:eastAsia="Microsoft YaHei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D998906" w14:textId="77777777" w:rsidR="004F3C9E" w:rsidRPr="000C0E1C" w:rsidRDefault="004F3C9E" w:rsidP="00BD06C4">
            <w:pPr>
              <w:widowControl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Knowledge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62A6BD7" w14:textId="77777777" w:rsidR="004F3C9E" w:rsidRPr="000C0E1C" w:rsidRDefault="004F3C9E" w:rsidP="00BD06C4">
            <w:pPr>
              <w:widowControl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Attitude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4780DF1" w14:textId="77777777" w:rsidR="004F3C9E" w:rsidRPr="000C0E1C" w:rsidRDefault="004F3C9E" w:rsidP="00BD06C4">
            <w:pPr>
              <w:widowControl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Practice</w:t>
            </w:r>
          </w:p>
        </w:tc>
      </w:tr>
      <w:tr w:rsidR="004F3C9E" w:rsidRPr="000C0E1C" w14:paraId="556C6B65" w14:textId="77777777" w:rsidTr="000C0E1C">
        <w:trPr>
          <w:trHeight w:val="177"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47E37891" w14:textId="77777777" w:rsidR="004F3C9E" w:rsidRPr="000C0E1C" w:rsidRDefault="004F3C9E" w:rsidP="00BD06C4">
            <w:pPr>
              <w:widowControl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Style w:val="Titre1Car"/>
                <w:rFonts w:ascii="Times New Roman" w:eastAsia="Microsoft YaHei" w:hAnsi="Times New Roman"/>
                <w:b w:val="0"/>
                <w:bCs w:val="0"/>
                <w:sz w:val="24"/>
                <w:szCs w:val="24"/>
              </w:rPr>
              <w:t>Knowledge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7C953ECB" w14:textId="77777777" w:rsidR="004F3C9E" w:rsidRPr="000C0E1C" w:rsidRDefault="004F3C9E" w:rsidP="00BD06C4">
            <w:pPr>
              <w:widowControl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1.000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0496F613" w14:textId="77777777" w:rsidR="004F3C9E" w:rsidRPr="000C0E1C" w:rsidRDefault="004F3C9E" w:rsidP="00BD06C4">
            <w:pPr>
              <w:widowControl w:val="0"/>
              <w:spacing w:line="480" w:lineRule="auto"/>
              <w:rPr>
                <w:rFonts w:eastAsia="Microsoft YaHe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2E6AE1FD" w14:textId="77777777" w:rsidR="004F3C9E" w:rsidRPr="000C0E1C" w:rsidRDefault="004F3C9E" w:rsidP="00BD06C4">
            <w:pPr>
              <w:widowControl w:val="0"/>
              <w:spacing w:line="480" w:lineRule="auto"/>
              <w:rPr>
                <w:rFonts w:eastAsia="Microsoft YaHei"/>
                <w:sz w:val="24"/>
                <w:szCs w:val="24"/>
              </w:rPr>
            </w:pPr>
          </w:p>
        </w:tc>
      </w:tr>
      <w:tr w:rsidR="004F3C9E" w:rsidRPr="000C0E1C" w14:paraId="4A03AA6B" w14:textId="77777777" w:rsidTr="000C0E1C">
        <w:tc>
          <w:tcPr>
            <w:tcW w:w="2268" w:type="dxa"/>
            <w:tcBorders>
              <w:top w:val="nil"/>
            </w:tcBorders>
          </w:tcPr>
          <w:p w14:paraId="3B60DC48" w14:textId="77777777" w:rsidR="004F3C9E" w:rsidRPr="000C0E1C" w:rsidRDefault="004F3C9E" w:rsidP="00BD06C4">
            <w:pPr>
              <w:widowControl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Attitude</w:t>
            </w:r>
          </w:p>
        </w:tc>
        <w:tc>
          <w:tcPr>
            <w:tcW w:w="2268" w:type="dxa"/>
            <w:tcBorders>
              <w:top w:val="nil"/>
            </w:tcBorders>
          </w:tcPr>
          <w:p w14:paraId="0DEF80CA" w14:textId="77777777" w:rsidR="004F3C9E" w:rsidRPr="000C0E1C" w:rsidRDefault="004F3C9E" w:rsidP="00BD06C4">
            <w:pPr>
              <w:widowControl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0.728 (P&lt;0.001)</w:t>
            </w:r>
          </w:p>
        </w:tc>
        <w:tc>
          <w:tcPr>
            <w:tcW w:w="2268" w:type="dxa"/>
            <w:tcBorders>
              <w:top w:val="nil"/>
            </w:tcBorders>
          </w:tcPr>
          <w:p w14:paraId="382C7590" w14:textId="77777777" w:rsidR="004F3C9E" w:rsidRPr="000C0E1C" w:rsidRDefault="004F3C9E" w:rsidP="00BD06C4">
            <w:pPr>
              <w:widowControl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1.000</w:t>
            </w:r>
          </w:p>
        </w:tc>
        <w:tc>
          <w:tcPr>
            <w:tcW w:w="2268" w:type="dxa"/>
            <w:tcBorders>
              <w:top w:val="nil"/>
            </w:tcBorders>
          </w:tcPr>
          <w:p w14:paraId="1CA6E749" w14:textId="77777777" w:rsidR="004F3C9E" w:rsidRPr="000C0E1C" w:rsidRDefault="004F3C9E" w:rsidP="00BD06C4">
            <w:pPr>
              <w:widowControl w:val="0"/>
              <w:spacing w:line="480" w:lineRule="auto"/>
              <w:rPr>
                <w:rFonts w:eastAsia="Microsoft YaHei"/>
                <w:sz w:val="24"/>
                <w:szCs w:val="24"/>
              </w:rPr>
            </w:pPr>
          </w:p>
        </w:tc>
      </w:tr>
      <w:tr w:rsidR="004F3C9E" w:rsidRPr="000C0E1C" w14:paraId="723042D5" w14:textId="77777777" w:rsidTr="000C0E1C">
        <w:tc>
          <w:tcPr>
            <w:tcW w:w="2268" w:type="dxa"/>
          </w:tcPr>
          <w:p w14:paraId="09ADAEFB" w14:textId="77777777" w:rsidR="004F3C9E" w:rsidRPr="000C0E1C" w:rsidRDefault="004F3C9E" w:rsidP="00BD06C4">
            <w:pPr>
              <w:widowControl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Practice</w:t>
            </w:r>
          </w:p>
        </w:tc>
        <w:tc>
          <w:tcPr>
            <w:tcW w:w="2268" w:type="dxa"/>
          </w:tcPr>
          <w:p w14:paraId="671E7A12" w14:textId="77777777" w:rsidR="004F3C9E" w:rsidRPr="000C0E1C" w:rsidRDefault="004F3C9E" w:rsidP="00BD06C4">
            <w:pPr>
              <w:widowControl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0.742 (P&lt;0.001)</w:t>
            </w:r>
          </w:p>
        </w:tc>
        <w:tc>
          <w:tcPr>
            <w:tcW w:w="2268" w:type="dxa"/>
          </w:tcPr>
          <w:p w14:paraId="173DE8CC" w14:textId="77777777" w:rsidR="004F3C9E" w:rsidRPr="000C0E1C" w:rsidRDefault="004F3C9E" w:rsidP="00BD06C4">
            <w:pPr>
              <w:widowControl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0.743 (P&lt;0.001)</w:t>
            </w:r>
          </w:p>
        </w:tc>
        <w:tc>
          <w:tcPr>
            <w:tcW w:w="2268" w:type="dxa"/>
          </w:tcPr>
          <w:p w14:paraId="3D188EEF" w14:textId="77777777" w:rsidR="004F3C9E" w:rsidRPr="000C0E1C" w:rsidRDefault="004F3C9E" w:rsidP="00BD06C4">
            <w:pPr>
              <w:widowControl w:val="0"/>
              <w:spacing w:line="480" w:lineRule="auto"/>
              <w:rPr>
                <w:rFonts w:eastAsia="Microsoft YaHei"/>
                <w:sz w:val="24"/>
                <w:szCs w:val="24"/>
              </w:rPr>
            </w:pPr>
            <w:r w:rsidRPr="000C0E1C">
              <w:rPr>
                <w:rFonts w:eastAsia="Microsoft YaHei"/>
                <w:sz w:val="24"/>
                <w:szCs w:val="24"/>
              </w:rPr>
              <w:t>1.000</w:t>
            </w:r>
          </w:p>
        </w:tc>
      </w:tr>
    </w:tbl>
    <w:p w14:paraId="4080E7AE" w14:textId="77777777" w:rsidR="004F3C9E" w:rsidRPr="000C0E1C" w:rsidRDefault="004F3C9E" w:rsidP="004F3C9E">
      <w:pPr>
        <w:spacing w:line="480" w:lineRule="auto"/>
        <w:rPr>
          <w:rStyle w:val="Titre1Car"/>
          <w:rFonts w:ascii="Times New Roman" w:eastAsia="Microsoft YaHei" w:hAnsi="Times New Roman"/>
          <w:sz w:val="24"/>
          <w:szCs w:val="24"/>
        </w:rPr>
      </w:pPr>
    </w:p>
    <w:p w14:paraId="2C44D342" w14:textId="77777777" w:rsidR="004F3C9E" w:rsidRPr="000C0E1C" w:rsidRDefault="004F3C9E" w:rsidP="004F3C9E">
      <w:pPr>
        <w:rPr>
          <w:sz w:val="24"/>
          <w:szCs w:val="24"/>
        </w:rPr>
      </w:pPr>
    </w:p>
    <w:sectPr w:rsidR="004F3C9E" w:rsidRPr="000C0E1C" w:rsidSect="00662856">
      <w:type w:val="continuous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130E4" w14:textId="77777777" w:rsidR="00050B9B" w:rsidRDefault="00050B9B">
      <w:r>
        <w:separator/>
      </w:r>
    </w:p>
  </w:endnote>
  <w:endnote w:type="continuationSeparator" w:id="0">
    <w:p w14:paraId="387AA762" w14:textId="77777777" w:rsidR="00050B9B" w:rsidRDefault="00050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ingFang SC">
    <w:altName w:val="Microsoft YaHei UI"/>
    <w:charset w:val="86"/>
    <w:family w:val="swiss"/>
    <w:pitch w:val="variable"/>
    <w:sig w:usb0="00000000" w:usb1="7ACFFDFB" w:usb2="00000017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49DA6" w14:textId="77777777" w:rsidR="00050B9B" w:rsidRDefault="00050B9B">
      <w:r>
        <w:separator/>
      </w:r>
    </w:p>
  </w:footnote>
  <w:footnote w:type="continuationSeparator" w:id="0">
    <w:p w14:paraId="13E8B5AB" w14:textId="77777777" w:rsidR="00050B9B" w:rsidRDefault="00050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tDQzNjM2tTAxMTUzMTVR0lEKTi0uzszPAykwrAUA5426PSwAAAA="/>
    <w:docVar w:name="commondata" w:val="eyJoZGlkIjoiZTdlZmUxMGFjOGM5ZGVhODI4N2IyMTk0NWU5OTg2ZGIifQ=="/>
  </w:docVars>
  <w:rsids>
    <w:rsidRoot w:val="00B379A9"/>
    <w:rsid w:val="00050B9B"/>
    <w:rsid w:val="000C0E1C"/>
    <w:rsid w:val="00205880"/>
    <w:rsid w:val="00242673"/>
    <w:rsid w:val="0026485A"/>
    <w:rsid w:val="00291E64"/>
    <w:rsid w:val="003F394B"/>
    <w:rsid w:val="00495799"/>
    <w:rsid w:val="004F3C9E"/>
    <w:rsid w:val="005F7093"/>
    <w:rsid w:val="00602A4D"/>
    <w:rsid w:val="00616E31"/>
    <w:rsid w:val="00662856"/>
    <w:rsid w:val="00720593"/>
    <w:rsid w:val="0074321A"/>
    <w:rsid w:val="00893F49"/>
    <w:rsid w:val="008D3B0F"/>
    <w:rsid w:val="00912804"/>
    <w:rsid w:val="00915C19"/>
    <w:rsid w:val="0093502C"/>
    <w:rsid w:val="009A4A36"/>
    <w:rsid w:val="00B379A9"/>
    <w:rsid w:val="00CA779B"/>
    <w:rsid w:val="00CE7EC3"/>
    <w:rsid w:val="00D14910"/>
    <w:rsid w:val="00D24F2D"/>
    <w:rsid w:val="00D443EB"/>
    <w:rsid w:val="00DD1576"/>
    <w:rsid w:val="00DE593C"/>
    <w:rsid w:val="00E174BE"/>
    <w:rsid w:val="00E22AB1"/>
    <w:rsid w:val="00E276E8"/>
    <w:rsid w:val="00ED708D"/>
    <w:rsid w:val="00F203A6"/>
    <w:rsid w:val="00FA6760"/>
    <w:rsid w:val="00FF5D8E"/>
    <w:rsid w:val="6DFC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0040"/>
  <w15:docId w15:val="{C6B78559-3587-473A-9311-AEE6C27D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C9E"/>
    <w:pPr>
      <w:jc w:val="both"/>
    </w:pPr>
    <w:rPr>
      <w:kern w:val="2"/>
      <w:sz w:val="21"/>
      <w:szCs w:val="22"/>
    </w:rPr>
  </w:style>
  <w:style w:type="paragraph" w:styleId="Titre1">
    <w:name w:val="heading 1"/>
    <w:basedOn w:val="Normal"/>
    <w:next w:val="Normal"/>
    <w:link w:val="Titre1Car"/>
    <w:qFormat/>
    <w:rsid w:val="004F3C9E"/>
    <w:pPr>
      <w:keepNext/>
      <w:keepLines/>
      <w:spacing w:before="340" w:after="330" w:line="578" w:lineRule="auto"/>
      <w:ind w:firstLine="414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unhideWhenUsed/>
    <w:qFormat/>
    <w:pPr>
      <w:widowControl w:val="0"/>
      <w:adjustRightInd w:val="0"/>
      <w:snapToGrid w:val="0"/>
      <w:spacing w:line="480" w:lineRule="auto"/>
      <w:jc w:val="left"/>
    </w:pPr>
    <w:rPr>
      <w:rFonts w:eastAsia="Times New Roman" w:cstheme="minorBidi"/>
      <w:sz w:val="24"/>
    </w:rPr>
  </w:style>
  <w:style w:type="paragraph" w:styleId="Corpsdetexte">
    <w:name w:val="Body Text"/>
    <w:link w:val="CorpsdetexteCar"/>
    <w:uiPriority w:val="99"/>
    <w:semiHidden/>
    <w:unhideWhenUsed/>
    <w:pPr>
      <w:widowControl w:val="0"/>
      <w:spacing w:after="120" w:line="480" w:lineRule="auto"/>
      <w:jc w:val="both"/>
    </w:pPr>
    <w:rPr>
      <w:kern w:val="2"/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widowControl w:val="0"/>
      <w:adjustRightInd w:val="0"/>
      <w:snapToGrid w:val="0"/>
      <w:spacing w:line="480" w:lineRule="auto"/>
      <w:jc w:val="left"/>
    </w:pPr>
    <w:rPr>
      <w:rFonts w:eastAsia="Times New Roman" w:cstheme="minorBidi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widowControl w:val="0"/>
      <w:adjustRightInd w:val="0"/>
      <w:snapToGrid w:val="0"/>
      <w:spacing w:line="480" w:lineRule="auto"/>
      <w:jc w:val="left"/>
    </w:pPr>
    <w:rPr>
      <w:rFonts w:eastAsia="Times New Roman" w:cstheme="minorBidi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pPr>
      <w:widowControl w:val="0"/>
      <w:tabs>
        <w:tab w:val="center" w:pos="4153"/>
        <w:tab w:val="right" w:pos="8306"/>
      </w:tabs>
      <w:adjustRightInd w:val="0"/>
      <w:snapToGrid w:val="0"/>
      <w:spacing w:line="480" w:lineRule="auto"/>
      <w:jc w:val="left"/>
    </w:pPr>
    <w:rPr>
      <w:rFonts w:eastAsia="Times New Roman" w:cstheme="minorBid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480" w:lineRule="auto"/>
      <w:jc w:val="center"/>
    </w:pPr>
    <w:rPr>
      <w:rFonts w:eastAsia="Times New Roman" w:cstheme="minorBid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widowControl w:val="0"/>
      <w:adjustRightInd w:val="0"/>
      <w:snapToGrid w:val="0"/>
      <w:spacing w:line="480" w:lineRule="auto"/>
      <w:jc w:val="left"/>
    </w:pPr>
    <w:rPr>
      <w:rFonts w:eastAsia="Times New Roman" w:cstheme="minorBidi"/>
      <w:sz w:val="18"/>
      <w:szCs w:val="18"/>
    </w:rPr>
  </w:style>
  <w:style w:type="paragraph" w:styleId="NormalWeb">
    <w:name w:val="Normal (Web)"/>
    <w:basedOn w:val="Normal"/>
    <w:uiPriority w:val="99"/>
    <w:unhideWhenUsed/>
    <w:pPr>
      <w:widowControl w:val="0"/>
      <w:adjustRightInd w:val="0"/>
      <w:snapToGrid w:val="0"/>
      <w:spacing w:line="480" w:lineRule="auto"/>
      <w:jc w:val="left"/>
    </w:pPr>
    <w:rPr>
      <w:rFonts w:eastAsia="Times New Roman" w:cstheme="minorBidi"/>
      <w:sz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table" w:styleId="Grilledutableau">
    <w:name w:val="Table Grid"/>
    <w:basedOn w:val="TableauNormal"/>
    <w:uiPriority w:val="39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character" w:styleId="Numrodepage">
    <w:name w:val="page number"/>
    <w:uiPriority w:val="99"/>
    <w:semiHidden/>
    <w:unhideWhenUsed/>
  </w:style>
  <w:style w:type="character" w:styleId="Lienhypertextesuivivisit">
    <w:name w:val="FollowedHyperlink"/>
    <w:uiPriority w:val="99"/>
    <w:semiHidden/>
    <w:unhideWhenUsed/>
    <w:rPr>
      <w:color w:val="954F72" w:themeColor="followedHyperlink"/>
      <w:u w:val="single"/>
    </w:rPr>
  </w:style>
  <w:style w:type="character" w:styleId="Numrodeligne">
    <w:name w:val="line number"/>
    <w:uiPriority w:val="99"/>
    <w:semiHidden/>
    <w:unhideWhenUsed/>
  </w:style>
  <w:style w:type="character" w:styleId="Lienhypertexte">
    <w:name w:val="Hyperlink"/>
    <w:uiPriority w:val="99"/>
    <w:semiHidden/>
    <w:unhideWhenUsed/>
    <w:qFormat/>
    <w:rPr>
      <w:color w:val="0563C1" w:themeColor="hyperlink"/>
      <w:u w:val="single"/>
    </w:rPr>
  </w:style>
  <w:style w:type="character" w:styleId="Marquedecommentaire">
    <w:name w:val="annotation reference"/>
    <w:uiPriority w:val="99"/>
    <w:unhideWhenUsed/>
    <w:qFormat/>
    <w:rPr>
      <w:sz w:val="21"/>
      <w:szCs w:val="21"/>
    </w:rPr>
  </w:style>
  <w:style w:type="paragraph" w:customStyle="1" w:styleId="MDPI11articletype">
    <w:name w:val="MDPI_1.1_article_type"/>
    <w:next w:val="Normal"/>
    <w:qFormat/>
    <w:pPr>
      <w:adjustRightInd w:val="0"/>
      <w:snapToGrid w:val="0"/>
      <w:spacing w:before="240" w:line="480" w:lineRule="auto"/>
    </w:pPr>
    <w:rPr>
      <w:rFonts w:ascii="Palatino Linotype" w:eastAsia="Times New Roman" w:hAnsi="Palatino Linotype"/>
      <w:i/>
      <w:snapToGrid w:val="0"/>
      <w:color w:val="000000"/>
      <w:szCs w:val="24"/>
      <w:lang w:eastAsia="de-DE" w:bidi="en-US"/>
    </w:rPr>
  </w:style>
  <w:style w:type="paragraph" w:customStyle="1" w:styleId="MDPI12title">
    <w:name w:val="MDPI_1.2_title"/>
    <w:next w:val="Normal"/>
    <w:qFormat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4"/>
      <w:lang w:eastAsia="de-DE" w:bidi="en-US"/>
    </w:rPr>
  </w:style>
  <w:style w:type="paragraph" w:customStyle="1" w:styleId="MDPI16affiliation">
    <w:name w:val="MDPI_1.6_affiliation"/>
    <w:qFormat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4"/>
      <w:lang w:eastAsia="de-DE" w:bidi="en-US"/>
    </w:rPr>
  </w:style>
  <w:style w:type="paragraph" w:customStyle="1" w:styleId="MDPI18keywords">
    <w:name w:val="MDPI_1.8_keywords"/>
    <w:next w:val="Normal"/>
    <w:qFormat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4"/>
      <w:lang w:eastAsia="de-DE" w:bidi="en-US"/>
    </w:rPr>
  </w:style>
  <w:style w:type="paragraph" w:customStyle="1" w:styleId="MDPI19line">
    <w:name w:val="MDPI_1.9_line"/>
    <w:qFormat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paragraph" w:customStyle="1" w:styleId="MDPI21heading1">
    <w:name w:val="MDPI_2.1_heading1"/>
    <w:qFormat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4"/>
      <w:lang w:eastAsia="de-DE" w:bidi="en-US"/>
    </w:rPr>
  </w:style>
  <w:style w:type="paragraph" w:customStyle="1" w:styleId="MDPI22heading2">
    <w:name w:val="MDPI_2.2_heading2"/>
    <w:qFormat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snapToGrid w:val="0"/>
      <w:color w:val="000000"/>
      <w:szCs w:val="24"/>
      <w:lang w:eastAsia="de-DE" w:bidi="en-US"/>
    </w:rPr>
  </w:style>
  <w:style w:type="paragraph" w:customStyle="1" w:styleId="MDPI23heading3">
    <w:name w:val="MDPI_2.3_heading3"/>
    <w:qFormat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4"/>
      <w:lang w:eastAsia="de-DE" w:bidi="en-US"/>
    </w:rPr>
  </w:style>
  <w:style w:type="paragraph" w:customStyle="1" w:styleId="MDPI31text">
    <w:name w:val="MDPI_3.1_text"/>
    <w:autoRedefine/>
    <w:qFormat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4"/>
      <w:lang w:eastAsia="de-DE" w:bidi="en-US"/>
    </w:rPr>
  </w:style>
  <w:style w:type="paragraph" w:customStyle="1" w:styleId="MDPI41tablecaption">
    <w:name w:val="MDPI_4.1_table_caption"/>
    <w:qFormat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4"/>
      <w:lang w:eastAsia="de-DE" w:bidi="en-US"/>
    </w:rPr>
  </w:style>
  <w:style w:type="table" w:customStyle="1" w:styleId="MDPI41threelinetable">
    <w:name w:val="MDPI_4.1_three_line_table"/>
    <w:basedOn w:val="TableauNormal"/>
    <w:uiPriority w:val="99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2tablebody">
    <w:name w:val="MDPI_4.2_table_body"/>
    <w:qFormat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51figurecaption">
    <w:name w:val="MDPI_5.1_figure_caption"/>
    <w:qFormat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pPr>
      <w:adjustRightInd w:val="0"/>
      <w:snapToGrid w:val="0"/>
      <w:spacing w:before="240" w:after="120" w:line="480" w:lineRule="auto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table" w:customStyle="1" w:styleId="MDPITable">
    <w:name w:val="MDPI_Table"/>
    <w:basedOn w:val="TableauNormal"/>
    <w:uiPriority w:val="99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pPr>
      <w:spacing w:line="260" w:lineRule="atLeast"/>
      <w:ind w:left="425" w:right="425" w:firstLine="284"/>
      <w:jc w:val="both"/>
    </w:pPr>
    <w:rPr>
      <w:rFonts w:eastAsia="Times New Roman"/>
      <w:snapToGrid w:val="0"/>
      <w:color w:val="000000"/>
      <w:sz w:val="22"/>
      <w:szCs w:val="24"/>
      <w:lang w:eastAsia="de-DE" w:bidi="en-US"/>
    </w:rPr>
  </w:style>
  <w:style w:type="paragraph" w:customStyle="1" w:styleId="MDPItitle">
    <w:name w:val="MDPI_title"/>
    <w:qFormat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soFootnoteText0">
    <w:name w:val="MsoFootnoteText"/>
    <w:basedOn w:val="NormalWeb"/>
    <w:qFormat/>
  </w:style>
  <w:style w:type="character" w:customStyle="1" w:styleId="Mentionnonrsolue1">
    <w:name w:val="Mention non résolue1"/>
    <w:uiPriority w:val="99"/>
    <w:semiHidden/>
    <w:unhideWhenUsed/>
    <w:rPr>
      <w:color w:val="605E5C"/>
      <w:shd w:val="clear" w:color="auto" w:fill="E1DFDD"/>
    </w:rPr>
  </w:style>
  <w:style w:type="character" w:customStyle="1" w:styleId="NotedebasdepageCar">
    <w:name w:val="Note de bas de page Car"/>
    <w:link w:val="Notedebasdepage"/>
    <w:uiPriority w:val="99"/>
    <w:semiHidden/>
    <w:rPr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Pr>
      <w:sz w:val="18"/>
      <w:szCs w:val="18"/>
    </w:rPr>
  </w:style>
  <w:style w:type="character" w:customStyle="1" w:styleId="CommentaireCar">
    <w:name w:val="Commentaire Car"/>
    <w:link w:val="Commentaire"/>
    <w:uiPriority w:val="99"/>
    <w:qFormat/>
  </w:style>
  <w:style w:type="character" w:customStyle="1" w:styleId="ObjetducommentaireCar">
    <w:name w:val="Objet du commentaire Car"/>
    <w:link w:val="Objetducommentaire"/>
    <w:uiPriority w:val="99"/>
    <w:semiHidden/>
    <w:rPr>
      <w:b/>
      <w:bCs/>
    </w:rPr>
  </w:style>
  <w:style w:type="paragraph" w:customStyle="1" w:styleId="1">
    <w:name w:val="书目1"/>
    <w:basedOn w:val="Normal"/>
    <w:next w:val="Normal"/>
    <w:uiPriority w:val="37"/>
    <w:semiHidden/>
    <w:unhideWhenUsed/>
  </w:style>
  <w:style w:type="character" w:customStyle="1" w:styleId="NotedefinCar">
    <w:name w:val="Note de fin Car"/>
    <w:link w:val="Notedefin"/>
    <w:uiPriority w:val="99"/>
    <w:semiHidden/>
  </w:style>
  <w:style w:type="table" w:customStyle="1" w:styleId="41">
    <w:name w:val="无格式表格 41"/>
    <w:basedOn w:val="TableauNormal"/>
    <w:uiPriority w:val="44"/>
    <w:rPr>
      <w:rFonts w:ascii="Calibri" w:hAnsi="Calibri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PieddepageCar">
    <w:name w:val="Pied de page Car"/>
    <w:link w:val="Pieddepage"/>
    <w:uiPriority w:val="99"/>
    <w:rPr>
      <w:sz w:val="18"/>
      <w:szCs w:val="18"/>
    </w:rPr>
  </w:style>
  <w:style w:type="character" w:customStyle="1" w:styleId="En-tteCar">
    <w:name w:val="En-tête Car"/>
    <w:link w:val="En-tte"/>
    <w:uiPriority w:val="99"/>
    <w:rPr>
      <w:sz w:val="18"/>
      <w:szCs w:val="18"/>
    </w:rPr>
  </w:style>
  <w:style w:type="character" w:styleId="Textedelespacerserv">
    <w:name w:val="Placeholder Text"/>
    <w:uiPriority w:val="99"/>
    <w:semiHidden/>
    <w:rPr>
      <w:color w:val="808080"/>
    </w:rPr>
  </w:style>
  <w:style w:type="character" w:customStyle="1" w:styleId="CorpsdetexteCar">
    <w:name w:val="Corps de texte Car"/>
    <w:link w:val="Corpsdetexte"/>
    <w:uiPriority w:val="99"/>
    <w:semiHidden/>
  </w:style>
  <w:style w:type="paragraph" w:customStyle="1" w:styleId="2">
    <w:name w:val="2 倍行距左对齐"/>
    <w:basedOn w:val="Normal"/>
    <w:qFormat/>
    <w:pPr>
      <w:widowControl w:val="0"/>
      <w:adjustRightInd w:val="0"/>
      <w:snapToGrid w:val="0"/>
      <w:spacing w:line="480" w:lineRule="auto"/>
      <w:jc w:val="left"/>
    </w:pPr>
    <w:rPr>
      <w:rFonts w:eastAsia="Times New Roman" w:cstheme="minorBidi"/>
      <w:sz w:val="24"/>
    </w:rPr>
  </w:style>
  <w:style w:type="paragraph" w:customStyle="1" w:styleId="a">
    <w:name w:val="参考文献"/>
    <w:basedOn w:val="Normal"/>
    <w:qFormat/>
    <w:pPr>
      <w:widowControl w:val="0"/>
      <w:autoSpaceDE w:val="0"/>
      <w:autoSpaceDN w:val="0"/>
      <w:adjustRightInd w:val="0"/>
      <w:snapToGrid w:val="0"/>
      <w:spacing w:line="480" w:lineRule="auto"/>
      <w:ind w:hangingChars="200" w:hanging="200"/>
      <w:jc w:val="left"/>
    </w:pPr>
    <w:rPr>
      <w:rFonts w:eastAsia="Times New Roman" w:cstheme="minorBidi"/>
      <w:sz w:val="24"/>
    </w:rPr>
  </w:style>
  <w:style w:type="character" w:customStyle="1" w:styleId="Titre1Car">
    <w:name w:val="Titre 1 Car"/>
    <w:basedOn w:val="Policepardfaut"/>
    <w:link w:val="Titre1"/>
    <w:qFormat/>
    <w:rsid w:val="004F3C9E"/>
    <w:rPr>
      <w:rFonts w:ascii="Calibri" w:hAnsi="Calibri"/>
      <w:b/>
      <w:bCs/>
      <w:kern w:val="44"/>
      <w:sz w:val="44"/>
      <w:szCs w:val="44"/>
    </w:rPr>
  </w:style>
  <w:style w:type="character" w:customStyle="1" w:styleId="tgt">
    <w:name w:val="tgt"/>
    <w:basedOn w:val="Policepardfaut"/>
    <w:rsid w:val="004F3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1128</Words>
  <Characters>6204</Characters>
  <Application>Microsoft Office Word</Application>
  <DocSecurity>0</DocSecurity>
  <Lines>51</Lines>
  <Paragraphs>14</Paragraphs>
  <ScaleCrop>false</ScaleCrop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</dc:creator>
  <cp:lastModifiedBy>JCH</cp:lastModifiedBy>
  <cp:revision>2</cp:revision>
  <dcterms:created xsi:type="dcterms:W3CDTF">2025-08-14T09:12:00Z</dcterms:created>
  <dcterms:modified xsi:type="dcterms:W3CDTF">2025-08-14T09:12:00Z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D9EE2DACDF504B879627C40E01CC6694_12</vt:lpwstr>
  </property>
</Properties>
</file>