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E761" w14:textId="77777777" w:rsidR="007B6441" w:rsidRDefault="007B6441" w:rsidP="007B6441">
      <w:pPr>
        <w:spacing w:line="480" w:lineRule="auto"/>
        <w:rPr>
          <w:rFonts w:ascii="Times New Roman" w:hAnsi="Times New Roman" w:cs="Times New Roman"/>
          <w:b/>
          <w:bCs/>
        </w:rPr>
      </w:pPr>
      <w:r w:rsidRPr="0096444D">
        <w:rPr>
          <w:rFonts w:ascii="Times New Roman" w:hAnsi="Times New Roman" w:cs="Times New Roman" w:hint="eastAsia"/>
          <w:b/>
          <w:bCs/>
        </w:rPr>
        <w:t>Supplement</w:t>
      </w:r>
      <w:r>
        <w:rPr>
          <w:rFonts w:ascii="Times New Roman" w:hAnsi="Times New Roman" w:cs="Times New Roman" w:hint="eastAsia"/>
          <w:b/>
          <w:bCs/>
        </w:rPr>
        <w:t xml:space="preserve"> table 1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>The definition of CML treatment response in the article</w:t>
      </w:r>
    </w:p>
    <w:tbl>
      <w:tblPr>
        <w:tblStyle w:val="a"/>
        <w:tblW w:w="5000" w:type="pct"/>
        <w:tblLook w:val="04A0" w:firstRow="1" w:lastRow="0" w:firstColumn="1" w:lastColumn="0" w:noHBand="0" w:noVBand="1"/>
      </w:tblPr>
      <w:tblGrid>
        <w:gridCol w:w="5000"/>
        <w:gridCol w:w="8958"/>
      </w:tblGrid>
      <w:tr w:rsidR="007B6441" w:rsidRPr="000E032C" w14:paraId="27381C44" w14:textId="77777777" w:rsidTr="002B2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91" w:type="pct"/>
          </w:tcPr>
          <w:p w14:paraId="474B4A2E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Response</w:t>
            </w:r>
          </w:p>
        </w:tc>
        <w:tc>
          <w:tcPr>
            <w:tcW w:w="3209" w:type="pct"/>
          </w:tcPr>
          <w:p w14:paraId="2E69ADAA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Definition</w:t>
            </w:r>
          </w:p>
        </w:tc>
      </w:tr>
      <w:tr w:rsidR="007B6441" w:rsidRPr="000E032C" w14:paraId="1C3C5663" w14:textId="77777777" w:rsidTr="002B2A35">
        <w:tc>
          <w:tcPr>
            <w:tcW w:w="1791" w:type="pct"/>
          </w:tcPr>
          <w:p w14:paraId="2EA11773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Complete cytogenetic response (</w:t>
            </w:r>
            <w:proofErr w:type="spellStart"/>
            <w:r w:rsidRPr="000E032C">
              <w:rPr>
                <w:rFonts w:ascii="Times New Roman" w:hAnsi="Times New Roman" w:hint="eastAsia"/>
                <w:sz w:val="18"/>
                <w:szCs w:val="18"/>
              </w:rPr>
              <w:t>CCyR</w:t>
            </w:r>
            <w:proofErr w:type="spellEnd"/>
            <w:r w:rsidRPr="000E032C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3209" w:type="pct"/>
          </w:tcPr>
          <w:p w14:paraId="750D59D6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No Ph-positive metaphases</w:t>
            </w:r>
          </w:p>
        </w:tc>
      </w:tr>
      <w:tr w:rsidR="007B6441" w:rsidRPr="000E032C" w14:paraId="48E9E54C" w14:textId="77777777" w:rsidTr="002B2A35">
        <w:tc>
          <w:tcPr>
            <w:tcW w:w="1791" w:type="pct"/>
          </w:tcPr>
          <w:p w14:paraId="51CAE051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Early cytogenetic response (EMR)</w:t>
            </w:r>
          </w:p>
        </w:tc>
        <w:tc>
          <w:tcPr>
            <w:tcW w:w="3209" w:type="pct"/>
          </w:tcPr>
          <w:p w14:paraId="6F0C60C9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133CA">
              <w:rPr>
                <w:rFonts w:ascii="Times New Roman" w:hAnsi="Times New Roman" w:hint="eastAsia"/>
                <w:sz w:val="18"/>
                <w:szCs w:val="18"/>
              </w:rPr>
              <w:t>BCR::</w:t>
            </w:r>
            <w:proofErr w:type="gramEnd"/>
            <w:r w:rsidRPr="005133CA">
              <w:rPr>
                <w:rFonts w:ascii="Times New Roman" w:hAnsi="Times New Roman" w:hint="eastAsia"/>
                <w:sz w:val="18"/>
                <w:szCs w:val="18"/>
              </w:rPr>
              <w:t>ABL</w:t>
            </w:r>
            <w:r w:rsidRPr="005133CA" w:rsidDel="005133C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>1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 (IS)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≤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10% at 3 and 6 months</w:t>
            </w:r>
          </w:p>
        </w:tc>
      </w:tr>
      <w:tr w:rsidR="007B6441" w:rsidRPr="000E032C" w14:paraId="1340C373" w14:textId="77777777" w:rsidTr="002B2A35">
        <w:tc>
          <w:tcPr>
            <w:tcW w:w="1791" w:type="pct"/>
          </w:tcPr>
          <w:p w14:paraId="500E6C33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Major cytogenetic response (MMR)</w:t>
            </w:r>
          </w:p>
        </w:tc>
        <w:tc>
          <w:tcPr>
            <w:tcW w:w="3209" w:type="pct"/>
          </w:tcPr>
          <w:p w14:paraId="5459C754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133CA">
              <w:rPr>
                <w:rFonts w:ascii="Times New Roman" w:hAnsi="Times New Roman" w:hint="eastAsia"/>
                <w:sz w:val="18"/>
                <w:szCs w:val="18"/>
              </w:rPr>
              <w:t>BCR::</w:t>
            </w:r>
            <w:proofErr w:type="gramEnd"/>
            <w:r w:rsidRPr="005133CA">
              <w:rPr>
                <w:rFonts w:ascii="Times New Roman" w:hAnsi="Times New Roman" w:hint="eastAsia"/>
                <w:sz w:val="18"/>
                <w:szCs w:val="18"/>
              </w:rPr>
              <w:t>ABL</w:t>
            </w:r>
            <w:r w:rsidRPr="005133CA" w:rsidDel="005133C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>1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 (IS)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≤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0.1% or 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≥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3 log reduction in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5133CA">
              <w:rPr>
                <w:rFonts w:ascii="Times New Roman" w:hAnsi="Times New Roman" w:hint="eastAsia"/>
                <w:sz w:val="18"/>
                <w:szCs w:val="18"/>
              </w:rPr>
              <w:t>BCR::</w:t>
            </w:r>
            <w:proofErr w:type="gramEnd"/>
            <w:r w:rsidRPr="005133CA">
              <w:rPr>
                <w:rFonts w:ascii="Times New Roman" w:hAnsi="Times New Roman" w:hint="eastAsia"/>
                <w:sz w:val="18"/>
                <w:szCs w:val="18"/>
              </w:rPr>
              <w:t>ABL</w:t>
            </w:r>
            <w:r w:rsidRPr="005133CA" w:rsidDel="005133C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>1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>transcripts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 from the standardized baseline, if </w:t>
            </w:r>
            <w:proofErr w:type="gramStart"/>
            <w:r w:rsidRPr="000E032C">
              <w:rPr>
                <w:rFonts w:ascii="Times New Roman" w:hAnsi="Times New Roman" w:hint="eastAsia"/>
                <w:sz w:val="18"/>
                <w:szCs w:val="18"/>
              </w:rPr>
              <w:t>qPCR(</w:t>
            </w:r>
            <w:proofErr w:type="gramEnd"/>
            <w:r w:rsidRPr="000E032C">
              <w:rPr>
                <w:rFonts w:ascii="Times New Roman" w:hAnsi="Times New Roman" w:hint="eastAsia"/>
                <w:sz w:val="18"/>
                <w:szCs w:val="18"/>
              </w:rPr>
              <w:t>IS) is not available</w:t>
            </w:r>
          </w:p>
        </w:tc>
      </w:tr>
      <w:tr w:rsidR="007B6441" w:rsidRPr="000E032C" w14:paraId="5D02D246" w14:textId="77777777" w:rsidTr="002B2A35">
        <w:tc>
          <w:tcPr>
            <w:tcW w:w="1791" w:type="pct"/>
          </w:tcPr>
          <w:p w14:paraId="3696D5C4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Deep cytogenetic response (DMR)</w:t>
            </w:r>
          </w:p>
        </w:tc>
        <w:tc>
          <w:tcPr>
            <w:tcW w:w="3209" w:type="pct"/>
          </w:tcPr>
          <w:p w14:paraId="53938284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1E31">
              <w:rPr>
                <w:rFonts w:ascii="Times New Roman" w:hAnsi="Times New Roman"/>
                <w:sz w:val="18"/>
                <w:szCs w:val="18"/>
              </w:rPr>
              <w:t xml:space="preserve">MR4.0: </w:t>
            </w:r>
            <w:proofErr w:type="gramStart"/>
            <w:r w:rsidRPr="005133CA">
              <w:rPr>
                <w:rFonts w:ascii="Times New Roman" w:hAnsi="Times New Roman" w:hint="eastAsia"/>
                <w:sz w:val="18"/>
                <w:szCs w:val="18"/>
              </w:rPr>
              <w:t>BCR::</w:t>
            </w:r>
            <w:proofErr w:type="gramEnd"/>
            <w:r w:rsidRPr="005133CA">
              <w:rPr>
                <w:rFonts w:ascii="Times New Roman" w:hAnsi="Times New Roman" w:hint="eastAsia"/>
                <w:sz w:val="18"/>
                <w:szCs w:val="18"/>
              </w:rPr>
              <w:t>ABL</w:t>
            </w:r>
            <w:r w:rsidRPr="005133CA" w:rsidDel="005133C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>1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 (IS)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≤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0.01% or </w:t>
            </w:r>
            <w:r w:rsidRPr="00A71E31">
              <w:rPr>
                <w:rFonts w:ascii="Times New Roman" w:hAnsi="Times New Roman"/>
                <w:sz w:val="18"/>
                <w:szCs w:val="18"/>
              </w:rPr>
              <w:t xml:space="preserve">MR4.5: </w:t>
            </w:r>
            <w:proofErr w:type="gramStart"/>
            <w:r w:rsidRPr="005133CA">
              <w:rPr>
                <w:rFonts w:ascii="Times New Roman" w:hAnsi="Times New Roman" w:hint="eastAsia"/>
                <w:sz w:val="18"/>
                <w:szCs w:val="18"/>
              </w:rPr>
              <w:t>BCR::</w:t>
            </w:r>
            <w:proofErr w:type="gramEnd"/>
            <w:r w:rsidRPr="005133CA">
              <w:rPr>
                <w:rFonts w:ascii="Times New Roman" w:hAnsi="Times New Roman" w:hint="eastAsia"/>
                <w:sz w:val="18"/>
                <w:szCs w:val="18"/>
              </w:rPr>
              <w:t>ABL</w:t>
            </w:r>
            <w:r w:rsidRPr="005133CA" w:rsidDel="005133C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>1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 xml:space="preserve"> (IS)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≤</w:t>
            </w:r>
            <w:r w:rsidRPr="000E032C">
              <w:rPr>
                <w:rFonts w:ascii="Times New Roman" w:hAnsi="Times New Roman" w:hint="eastAsia"/>
                <w:sz w:val="18"/>
                <w:szCs w:val="18"/>
              </w:rPr>
              <w:t>0.0032%</w:t>
            </w:r>
          </w:p>
        </w:tc>
      </w:tr>
      <w:tr w:rsidR="007B6441" w:rsidRPr="000E032C" w14:paraId="6C6754D0" w14:textId="77777777" w:rsidTr="002B2A35">
        <w:tc>
          <w:tcPr>
            <w:tcW w:w="1791" w:type="pct"/>
          </w:tcPr>
          <w:p w14:paraId="5049BCD7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Treatment-free remission (TFR)</w:t>
            </w:r>
          </w:p>
        </w:tc>
        <w:tc>
          <w:tcPr>
            <w:tcW w:w="3209" w:type="pct"/>
          </w:tcPr>
          <w:p w14:paraId="37DE7626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The ability to maintain a molecular response after stopping therapy</w:t>
            </w:r>
          </w:p>
        </w:tc>
      </w:tr>
      <w:tr w:rsidR="007B6441" w:rsidRPr="000E032C" w14:paraId="78DB1B73" w14:textId="77777777" w:rsidTr="002B2A35">
        <w:tc>
          <w:tcPr>
            <w:tcW w:w="1791" w:type="pct"/>
          </w:tcPr>
          <w:p w14:paraId="532D9491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Overall survival (OS)</w:t>
            </w:r>
          </w:p>
        </w:tc>
        <w:tc>
          <w:tcPr>
            <w:tcW w:w="3209" w:type="pct"/>
          </w:tcPr>
          <w:p w14:paraId="16A952D3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The time between diagnosis and death resulting from any cause whether during TKI treatment or not.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7B6441" w:rsidRPr="000E032C" w14:paraId="7DF59E49" w14:textId="77777777" w:rsidTr="002B2A35">
        <w:tc>
          <w:tcPr>
            <w:tcW w:w="1791" w:type="pct"/>
          </w:tcPr>
          <w:p w14:paraId="08B910D4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Progression-free survival (PFS)</w:t>
            </w:r>
          </w:p>
        </w:tc>
        <w:tc>
          <w:tcPr>
            <w:tcW w:w="3209" w:type="pct"/>
          </w:tcPr>
          <w:p w14:paraId="3EC746D8" w14:textId="77777777" w:rsidR="007B6441" w:rsidRPr="000E032C" w:rsidRDefault="007B6441" w:rsidP="002B2A3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32C">
              <w:rPr>
                <w:rFonts w:ascii="Times New Roman" w:hAnsi="Times New Roman" w:hint="eastAsia"/>
                <w:sz w:val="18"/>
                <w:szCs w:val="18"/>
              </w:rPr>
              <w:t>Consider the additional events accelerated phase (AP) and blast crisis (BC).</w:t>
            </w:r>
            <w:r w:rsidRPr="000E032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14:paraId="52C66435" w14:textId="77777777" w:rsidR="007B6441" w:rsidRPr="000E032C" w:rsidRDefault="007B6441" w:rsidP="007B64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</w:rPr>
        <w:t>Abbreviations:</w:t>
      </w:r>
      <w:r w:rsidRPr="0069236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TKI: </w:t>
      </w:r>
      <w:r>
        <w:rPr>
          <w:rFonts w:ascii="Times New Roman" w:hAnsi="Times New Roman" w:cs="Times New Roman"/>
        </w:rPr>
        <w:t>tyrosine kinase inhibitor; qPCR: r</w:t>
      </w:r>
      <w:r w:rsidRPr="00E66D54">
        <w:rPr>
          <w:rFonts w:ascii="Times New Roman" w:hAnsi="Times New Roman" w:cs="Times New Roman"/>
        </w:rPr>
        <w:t>eal</w:t>
      </w:r>
      <w:r>
        <w:rPr>
          <w:rFonts w:ascii="Times New Roman" w:hAnsi="Times New Roman" w:cs="Times New Roman"/>
        </w:rPr>
        <w:t>-</w:t>
      </w:r>
      <w:r w:rsidRPr="00E66D54">
        <w:rPr>
          <w:rFonts w:ascii="Times New Roman" w:hAnsi="Times New Roman" w:cs="Times New Roman"/>
        </w:rPr>
        <w:t>time fluorescence quantitative PCR</w:t>
      </w:r>
      <w:r>
        <w:rPr>
          <w:rFonts w:ascii="Times New Roman" w:hAnsi="Times New Roman" w:cs="Times New Roman" w:hint="eastAsia"/>
        </w:rPr>
        <w:t xml:space="preserve">; </w:t>
      </w:r>
      <w:r w:rsidRPr="00B6266E">
        <w:rPr>
          <w:rFonts w:ascii="Times New Roman" w:hAnsi="Times New Roman" w:cs="Times New Roman"/>
        </w:rPr>
        <w:t xml:space="preserve">IS: </w:t>
      </w:r>
      <w:bookmarkStart w:id="0" w:name="OLE_LINK3"/>
      <w:r w:rsidRPr="00B6266E">
        <w:rPr>
          <w:rFonts w:ascii="Times New Roman" w:hAnsi="Times New Roman" w:cs="Times New Roman"/>
        </w:rPr>
        <w:t>International Scale</w:t>
      </w:r>
      <w:bookmarkEnd w:id="0"/>
      <w:r>
        <w:rPr>
          <w:rFonts w:ascii="Times New Roman" w:hAnsi="Times New Roman" w:cs="Times New Roman"/>
        </w:rPr>
        <w:t>.</w:t>
      </w:r>
    </w:p>
    <w:p w14:paraId="0AEB898A" w14:textId="77777777" w:rsidR="00E77B63" w:rsidRPr="007B6441" w:rsidRDefault="00E77B63"/>
    <w:sectPr w:rsidR="00E77B63" w:rsidRPr="007B6441" w:rsidSect="007B6441">
      <w:footerReference w:type="even" r:id="rId6"/>
      <w:footerReference w:type="default" r:id="rId7"/>
      <w:footerReference w:type="firs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C312" w14:textId="77777777" w:rsidR="00CD63CF" w:rsidRDefault="00CD63CF" w:rsidP="00A835DB">
      <w:r>
        <w:separator/>
      </w:r>
    </w:p>
  </w:endnote>
  <w:endnote w:type="continuationSeparator" w:id="0">
    <w:p w14:paraId="3425C5F5" w14:textId="77777777" w:rsidR="00CD63CF" w:rsidRDefault="00CD63CF" w:rsidP="00A8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F32F" w14:textId="3B523CC1" w:rsidR="00A835DB" w:rsidRDefault="00A835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F19253" wp14:editId="1D3841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1151203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54662" w14:textId="6CE9D7D2" w:rsidR="00A835DB" w:rsidRPr="00A835DB" w:rsidRDefault="00A835DB" w:rsidP="00A835D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835D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192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D854662" w14:textId="6CE9D7D2" w:rsidR="00A835DB" w:rsidRPr="00A835DB" w:rsidRDefault="00A835DB" w:rsidP="00A835D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835D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9344" w14:textId="621CEBCE" w:rsidR="00A835DB" w:rsidRDefault="00A835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8F2E3B" wp14:editId="50F99ECC">
              <wp:simplePos x="914400" y="6754483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30915821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92703" w14:textId="20EA7815" w:rsidR="00A835DB" w:rsidRPr="00A835DB" w:rsidRDefault="00A835DB" w:rsidP="00A835D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835D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F2E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5C92703" w14:textId="20EA7815" w:rsidR="00A835DB" w:rsidRPr="00A835DB" w:rsidRDefault="00A835DB" w:rsidP="00A835D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835D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AF1D" w14:textId="5D05C46C" w:rsidR="00A835DB" w:rsidRDefault="00A835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4D5341" wp14:editId="589DF7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95317333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C00FD" w14:textId="21CED56F" w:rsidR="00A835DB" w:rsidRPr="00A835DB" w:rsidRDefault="00A835DB" w:rsidP="00A835D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835D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D53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F4C00FD" w14:textId="21CED56F" w:rsidR="00A835DB" w:rsidRPr="00A835DB" w:rsidRDefault="00A835DB" w:rsidP="00A835D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835D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86F1" w14:textId="77777777" w:rsidR="00CD63CF" w:rsidRDefault="00CD63CF" w:rsidP="00A835DB">
      <w:r>
        <w:separator/>
      </w:r>
    </w:p>
  </w:footnote>
  <w:footnote w:type="continuationSeparator" w:id="0">
    <w:p w14:paraId="3999B5A2" w14:textId="77777777" w:rsidR="00CD63CF" w:rsidRDefault="00CD63CF" w:rsidP="00A83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41"/>
    <w:rsid w:val="00085D59"/>
    <w:rsid w:val="000A203E"/>
    <w:rsid w:val="000B3D64"/>
    <w:rsid w:val="00133648"/>
    <w:rsid w:val="00202F2E"/>
    <w:rsid w:val="002805BE"/>
    <w:rsid w:val="002F751A"/>
    <w:rsid w:val="00305DBF"/>
    <w:rsid w:val="0042178A"/>
    <w:rsid w:val="00462199"/>
    <w:rsid w:val="00491EEB"/>
    <w:rsid w:val="007B6441"/>
    <w:rsid w:val="007E1421"/>
    <w:rsid w:val="009C25AF"/>
    <w:rsid w:val="00A02056"/>
    <w:rsid w:val="00A71E31"/>
    <w:rsid w:val="00A835DB"/>
    <w:rsid w:val="00AA6CB1"/>
    <w:rsid w:val="00BB2214"/>
    <w:rsid w:val="00C14793"/>
    <w:rsid w:val="00CB35FB"/>
    <w:rsid w:val="00CD63CF"/>
    <w:rsid w:val="00E56E3B"/>
    <w:rsid w:val="00E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1471BC"/>
  <w14:defaultImageDpi w14:val="32767"/>
  <w15:chartTrackingRefBased/>
  <w15:docId w15:val="{80EA20A7-A608-449E-A5AD-FD557DE0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44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64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4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44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44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44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44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44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44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段式"/>
    <w:basedOn w:val="TableNormal"/>
    <w:uiPriority w:val="99"/>
    <w:rsid w:val="00A02056"/>
    <w:rPr>
      <w:rFonts w:ascii="DengXian" w:eastAsia="DengXian" w:hAnsi="DengXi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0">
    <w:name w:val="三线表"/>
    <w:basedOn w:val="TableNormal"/>
    <w:rsid w:val="00A02056"/>
    <w:rPr>
      <w:rFonts w:ascii="Times New Roman" w:eastAsia="SimSun" w:hAnsi="Times New Roman" w:cs="Times New Roman"/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B64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44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441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44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44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44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44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B64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4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4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4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44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835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5DB"/>
  </w:style>
  <w:style w:type="character" w:styleId="CommentReference">
    <w:name w:val="annotation reference"/>
    <w:basedOn w:val="DefaultParagraphFont"/>
    <w:uiPriority w:val="99"/>
    <w:semiHidden/>
    <w:unhideWhenUsed/>
    <w:rsid w:val="00305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D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D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D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DB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1E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71E31"/>
    <w:rPr>
      <w:sz w:val="18"/>
      <w:szCs w:val="18"/>
    </w:rPr>
  </w:style>
  <w:style w:type="paragraph" w:styleId="Revision">
    <w:name w:val="Revision"/>
    <w:hidden/>
    <w:uiPriority w:val="99"/>
    <w:semiHidden/>
    <w:rsid w:val="00202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佳丽 陈</dc:creator>
  <cp:keywords/>
  <dc:description/>
  <cp:lastModifiedBy>Shaw, Grace</cp:lastModifiedBy>
  <cp:revision>3</cp:revision>
  <dcterms:created xsi:type="dcterms:W3CDTF">2025-06-29T21:31:00Z</dcterms:created>
  <dcterms:modified xsi:type="dcterms:W3CDTF">2025-06-29T21:32:00Z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746b0f55,c9b6ae1,4e082b43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2025-06-26T20:03:26Z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4a27e45d-9717-4246-acf4-c88e36b41dcd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