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DA" w:rsidRPr="005D31B5" w:rsidRDefault="00B01C20" w:rsidP="00CE52DA">
      <w:pPr>
        <w:pStyle w:val="Beschriftung"/>
        <w:keepNext/>
        <w:rPr>
          <w:lang w:val="en-US"/>
        </w:rPr>
      </w:pPr>
      <w:r>
        <w:rPr>
          <w:lang w:val="en-US"/>
        </w:rPr>
        <w:t>Table S1</w:t>
      </w:r>
      <w:r w:rsidR="00CE52DA" w:rsidRPr="005D31B5">
        <w:rPr>
          <w:b w:val="0"/>
          <w:lang w:val="en-US"/>
        </w:rPr>
        <w:t xml:space="preserve"> Laboratory costs of persons with psoriasis (ICD-10 L40) and first systemic prescription after a drug-free period of 180 days (biological and non-biological) treatment in 2019 by </w:t>
      </w:r>
      <w:proofErr w:type="spellStart"/>
      <w:r w:rsidR="00CE52DA" w:rsidRPr="005D31B5">
        <w:rPr>
          <w:b w:val="0"/>
          <w:lang w:val="en-US"/>
        </w:rPr>
        <w:t>Charlson</w:t>
      </w:r>
      <w:proofErr w:type="spellEnd"/>
      <w:r w:rsidR="00CE52DA" w:rsidRPr="005D31B5">
        <w:rPr>
          <w:b w:val="0"/>
          <w:lang w:val="en-US"/>
        </w:rPr>
        <w:t xml:space="preserve"> comorbidity index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753"/>
        <w:gridCol w:w="945"/>
        <w:gridCol w:w="902"/>
        <w:gridCol w:w="701"/>
        <w:gridCol w:w="1318"/>
        <w:gridCol w:w="797"/>
        <w:gridCol w:w="1515"/>
        <w:gridCol w:w="1218"/>
      </w:tblGrid>
      <w:tr w:rsidR="00CE52DA" w:rsidRPr="00CE52DA" w:rsidTr="00CE52DA">
        <w:trPr>
          <w:trHeight w:val="525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  <w:lang w:val="en-US"/>
              </w:rPr>
            </w:pPr>
            <w:r w:rsidRPr="00CE52DA">
              <w:rPr>
                <w:bCs/>
                <w:lang w:val="en-US"/>
              </w:rPr>
              <w:t>CCI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  <w:lang w:val="en-US"/>
              </w:rPr>
            </w:pPr>
            <w:r w:rsidRPr="00CE52DA">
              <w:rPr>
                <w:rFonts w:eastAsia="Times"/>
                <w:bCs/>
                <w:lang w:val="en-US"/>
              </w:rPr>
              <w:t>≥1 Rx (N)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rFonts w:eastAsia="Times"/>
                <w:bCs/>
                <w:lang w:val="en-US"/>
              </w:rPr>
            </w:pPr>
            <w:r w:rsidRPr="00CE52DA">
              <w:rPr>
                <w:rFonts w:eastAsia="Times"/>
                <w:bCs/>
                <w:lang w:val="en-US"/>
              </w:rPr>
              <w:t xml:space="preserve">≥1 Lab service per PE </w:t>
            </w:r>
          </w:p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rFonts w:eastAsia="Times"/>
                <w:bCs/>
                <w:lang w:val="en-US"/>
              </w:rPr>
              <w:t>n (%)</w:t>
            </w:r>
            <w:r w:rsidRPr="00CE52DA">
              <w:rPr>
                <w:rFonts w:eastAsia="Times"/>
                <w:lang w:val="en-US"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  <w:lang w:val="en-US"/>
              </w:rPr>
            </w:pPr>
            <w:r w:rsidRPr="00CE52DA">
              <w:rPr>
                <w:bCs/>
                <w:lang w:val="en-US"/>
              </w:rPr>
              <w:t>Mean per PE</w:t>
            </w:r>
            <w:r w:rsidRPr="00CE52DA" w:rsidDel="00642B19">
              <w:rPr>
                <w:bCs/>
                <w:lang w:val="en-US"/>
              </w:rPr>
              <w:t xml:space="preserve"> </w:t>
            </w:r>
            <w:r w:rsidRPr="00CE52DA">
              <w:rPr>
                <w:bCs/>
                <w:lang w:val="en-US"/>
              </w:rPr>
              <w:t>(€)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  <w:lang w:val="en-US"/>
              </w:rPr>
            </w:pPr>
            <w:r w:rsidRPr="00CE52DA">
              <w:rPr>
                <w:bCs/>
                <w:lang w:val="en-US"/>
              </w:rPr>
              <w:t>SD per PE</w:t>
            </w:r>
            <w:r w:rsidRPr="00CE52DA" w:rsidDel="00642B19">
              <w:rPr>
                <w:bCs/>
                <w:lang w:val="en-US"/>
              </w:rPr>
              <w:t xml:space="preserve"> </w:t>
            </w:r>
            <w:r w:rsidRPr="00CE52DA">
              <w:rPr>
                <w:bCs/>
                <w:lang w:val="en-US"/>
              </w:rPr>
              <w:t>(€)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  <w:lang w:val="en-US"/>
              </w:rPr>
            </w:pPr>
            <w:r w:rsidRPr="00CE52DA">
              <w:rPr>
                <w:bCs/>
                <w:lang w:val="en-US"/>
              </w:rPr>
              <w:t>Range (€)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  <w:lang w:val="en-US"/>
              </w:rPr>
            </w:pPr>
            <w:r w:rsidRPr="00CE52DA">
              <w:rPr>
                <w:bCs/>
                <w:lang w:val="en-US"/>
              </w:rPr>
              <w:t>Median (€)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  <w:lang w:val="en-US"/>
              </w:rPr>
            </w:pPr>
            <w:r w:rsidRPr="00CE52DA">
              <w:rPr>
                <w:bCs/>
                <w:lang w:val="en-US"/>
              </w:rPr>
              <w:t>IQR [25%; 75%] (€)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  <w:lang w:val="en-US"/>
              </w:rPr>
              <w:t xml:space="preserve">Total </w:t>
            </w:r>
            <w:r w:rsidRPr="00CE52DA">
              <w:rPr>
                <w:bCs/>
              </w:rPr>
              <w:t>lab costs (€)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2,040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1,794 (87.94)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20.44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33.96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0.25–386.55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6.75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[2.75; 18.40]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36,674.30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1,912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1,741 (91.06)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22.72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35.99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0.25–366.50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8.85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[3.50; 22.40]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39,558.40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1,137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1,058 (93.05)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23.47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34.57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0.25–376.40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11.05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[4.75; 26.45]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24,835.15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795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758 (95.35)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25.46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31.62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0.25–248.15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14.45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[6.25; 31.45]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19,297.35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584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563 (96.40)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29.46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36.78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0.25–315.90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18.50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[7.60; 35.30]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16,587.30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421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408 (96.91)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30.90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33.98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0.50–285.30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21.63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[9.95; 37.65]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12,607.10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318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312 (98.11)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35.24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33.75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0.50–192.20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26.60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[11.23; 43.48]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10,994.55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194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185 (95.36)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41.56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38.66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1.75–314.45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33.75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[18.50; 47.70]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7,689.50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188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178 (94.68)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40.48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31.16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0.50–148.00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33.68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[19.00; 56.95]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7,205.65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135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132 (97.78)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44.46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42.71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1.15–294.65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31.13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[16.80; 57.40]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5,868.75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10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104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102 (98.08)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46.00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48.74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1.00–339.55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32.40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[14.80; 55.40]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4,691.55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lastRenderedPageBreak/>
              <w:t>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68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65 (95.59)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44.61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44.97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0.25–260.95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36.00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[14.65; 54.30]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2,899.60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12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34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33 (97.06)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48.65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48.45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0.50–211.55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32.45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[18.75; 52.00]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1,605.45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13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36 (94.74)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62.47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80.54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3.40–418.50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44.10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[27.88; 63.25]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2,249.05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14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15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15 (100.00)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58.10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44.96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4.15–146.55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51.00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[17.50; 93.40]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871.55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15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12 (100.00)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69.21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93.45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1.00–340.40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36.50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[25.25; 71.68]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830.50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16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13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13 (100.00)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68.15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75.47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2.00–275.60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45.10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[29.15; 86.15]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885.95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17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8 (100.00)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84.29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49.64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2.50–143.45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96.58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[46.03; 121.58]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674.30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r w:rsidRPr="00CE52DA">
              <w:t>20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 (100.00)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314.85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 xml:space="preserve"> - 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 xml:space="preserve"> - 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 xml:space="preserve"> - 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 xml:space="preserve"> - 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314.85</w:t>
            </w:r>
          </w:p>
        </w:tc>
      </w:tr>
      <w:tr w:rsidR="00CE52DA" w:rsidRPr="00CE52DA" w:rsidTr="00CE52DA">
        <w:trPr>
          <w:trHeight w:val="300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CE52DA" w:rsidRPr="00CE52DA" w:rsidRDefault="00CE52DA" w:rsidP="00F62358">
            <w:r w:rsidRPr="00CE52DA">
              <w:t>22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1 (100.00)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71.50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 xml:space="preserve"> - 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 xml:space="preserve"> - 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 xml:space="preserve"> - 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 xml:space="preserve"> - 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</w:pPr>
            <w:r w:rsidRPr="00CE52DA">
              <w:t>71.50</w:t>
            </w:r>
          </w:p>
        </w:tc>
      </w:tr>
      <w:tr w:rsidR="00CE52DA" w:rsidRPr="00CE52DA" w:rsidTr="00CE52DA">
        <w:trPr>
          <w:trHeight w:val="315"/>
        </w:trPr>
        <w:tc>
          <w:tcPr>
            <w:tcW w:w="499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rPr>
                <w:bCs/>
              </w:rPr>
            </w:pPr>
            <w:r w:rsidRPr="00CE52DA">
              <w:rPr>
                <w:bCs/>
              </w:rPr>
              <w:t>Total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</w:rPr>
              <w:t>8,018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</w:rPr>
              <w:t>7,415 (92.48)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</w:rPr>
              <w:t>26.49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</w:rPr>
              <w:t>36.81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</w:rPr>
              <w:t>0.25-418.50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</w:rPr>
              <w:t>12.10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</w:rPr>
              <w:t>[4.75; 32.25]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CE52DA" w:rsidRPr="00CE52DA" w:rsidRDefault="00CE52DA" w:rsidP="00F62358">
            <w:pPr>
              <w:jc w:val="center"/>
              <w:rPr>
                <w:bCs/>
              </w:rPr>
            </w:pPr>
            <w:r w:rsidRPr="00CE52DA">
              <w:rPr>
                <w:bCs/>
              </w:rPr>
              <w:t>196,412.35</w:t>
            </w:r>
          </w:p>
        </w:tc>
      </w:tr>
    </w:tbl>
    <w:p w:rsidR="00CE52DA" w:rsidRDefault="00CE52DA">
      <w:r w:rsidRPr="005D31B5">
        <w:rPr>
          <w:rFonts w:eastAsia="Times"/>
          <w:lang w:val="en-US"/>
        </w:rPr>
        <w:t xml:space="preserve">Note: </w:t>
      </w:r>
      <w:r w:rsidRPr="005D31B5">
        <w:rPr>
          <w:lang w:val="en-US"/>
        </w:rPr>
        <w:t>Rx</w:t>
      </w:r>
      <w:r>
        <w:rPr>
          <w:lang w:val="en-US"/>
        </w:rPr>
        <w:t xml:space="preserve"> </w:t>
      </w:r>
      <w:r w:rsidRPr="005D31B5">
        <w:rPr>
          <w:rFonts w:eastAsia="Times"/>
          <w:lang w:val="en-US"/>
        </w:rPr>
        <w:t xml:space="preserve">= prescription; </w:t>
      </w:r>
      <w:r w:rsidRPr="005D31B5">
        <w:rPr>
          <w:lang w:val="en-US"/>
        </w:rPr>
        <w:t>PE</w:t>
      </w:r>
      <w:r>
        <w:rPr>
          <w:lang w:val="en-US"/>
        </w:rPr>
        <w:t xml:space="preserve"> </w:t>
      </w:r>
      <w:r w:rsidRPr="005D31B5">
        <w:rPr>
          <w:lang w:val="en-US"/>
        </w:rPr>
        <w:t>= persons</w:t>
      </w:r>
      <w:r w:rsidRPr="005D31B5">
        <w:rPr>
          <w:rFonts w:eastAsia="Times"/>
          <w:lang w:val="en-US"/>
        </w:rPr>
        <w:t>; SD</w:t>
      </w:r>
      <w:r>
        <w:rPr>
          <w:rFonts w:eastAsia="Times"/>
          <w:lang w:val="en-US"/>
        </w:rPr>
        <w:t xml:space="preserve"> </w:t>
      </w:r>
      <w:r w:rsidRPr="005D31B5">
        <w:rPr>
          <w:rFonts w:eastAsia="Times"/>
          <w:lang w:val="en-US"/>
        </w:rPr>
        <w:t xml:space="preserve">= </w:t>
      </w:r>
      <w:r w:rsidRPr="005D31B5">
        <w:t>Standard deviation</w:t>
      </w:r>
      <w:r w:rsidRPr="005D31B5">
        <w:rPr>
          <w:rFonts w:eastAsia="Times"/>
          <w:lang w:val="en-US"/>
        </w:rPr>
        <w:t>, IQR</w:t>
      </w:r>
      <w:r>
        <w:rPr>
          <w:rFonts w:eastAsia="Times"/>
          <w:lang w:val="en-US"/>
        </w:rPr>
        <w:t xml:space="preserve"> </w:t>
      </w:r>
      <w:r w:rsidRPr="005D31B5">
        <w:rPr>
          <w:rFonts w:eastAsia="Times"/>
          <w:lang w:val="en-US"/>
        </w:rPr>
        <w:t xml:space="preserve">= </w:t>
      </w:r>
      <w:r w:rsidRPr="005D31B5">
        <w:t>Interquartile rang</w:t>
      </w:r>
    </w:p>
    <w:p w:rsidR="00B01C20" w:rsidRDefault="00B01C20"/>
    <w:p w:rsidR="00B01C20" w:rsidRDefault="00B01C20"/>
    <w:p w:rsidR="00B01C20" w:rsidRDefault="00B01C20"/>
    <w:p w:rsidR="00B01C20" w:rsidRDefault="00B01C20"/>
    <w:p w:rsidR="00B01C20" w:rsidRDefault="00B01C20"/>
    <w:p w:rsidR="00B01C20" w:rsidRDefault="00B01C20"/>
    <w:p w:rsidR="00B01C20" w:rsidRPr="00D6764C" w:rsidRDefault="00B01C20" w:rsidP="00B01C20">
      <w:pPr>
        <w:rPr>
          <w:lang w:val="en-US"/>
        </w:rPr>
      </w:pPr>
      <w:r>
        <w:rPr>
          <w:b/>
          <w:lang w:val="en-US"/>
        </w:rPr>
        <w:t>Table S2</w:t>
      </w:r>
      <w:r w:rsidRPr="00D6764C">
        <w:rPr>
          <w:lang w:val="en-US"/>
        </w:rPr>
        <w:t xml:space="preserve"> </w:t>
      </w:r>
      <w:r w:rsidRPr="00D6764C">
        <w:t xml:space="preserve">Costs of laboratory services in prevalent persons with Psoriasis (ICD-10 L40) </w:t>
      </w:r>
      <w:r w:rsidRPr="00D6764C">
        <w:rPr>
          <w:lang w:val="en-US"/>
        </w:rPr>
        <w:t>and first systemic prescription after a drug-free period of 180 days (biological and non-biological) treatment in 2019</w:t>
      </w:r>
      <w:r w:rsidRPr="00D6764C">
        <w:t xml:space="preserve"> (N</w:t>
      </w:r>
      <w:r w:rsidRPr="00457B9E">
        <w:t xml:space="preserve"> </w:t>
      </w:r>
      <w:r w:rsidRPr="00D6764C">
        <w:t>=</w:t>
      </w:r>
      <w:r w:rsidRPr="00457B9E">
        <w:t xml:space="preserve"> </w:t>
      </w:r>
      <w:r w:rsidRPr="00D6764C">
        <w:t>8,018)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436"/>
        <w:gridCol w:w="833"/>
        <w:gridCol w:w="679"/>
        <w:gridCol w:w="679"/>
        <w:gridCol w:w="833"/>
        <w:gridCol w:w="796"/>
        <w:gridCol w:w="1135"/>
        <w:gridCol w:w="1231"/>
      </w:tblGrid>
      <w:tr w:rsidR="00B01C20" w:rsidRPr="00D6764C" w:rsidTr="00E27F36">
        <w:trPr>
          <w:trHeight w:val="780"/>
          <w:tblHeader/>
        </w:trPr>
        <w:tc>
          <w:tcPr>
            <w:tcW w:w="63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Parameters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Lab service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rFonts w:eastAsia="Times"/>
                <w:lang w:val="en-US"/>
              </w:rPr>
              <w:t>≥1 Lab service per PE n (%) 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Mean per PE</w:t>
            </w:r>
            <w:r w:rsidRPr="00CE52DA" w:rsidDel="00642B19">
              <w:rPr>
                <w:lang w:val="en-US"/>
              </w:rPr>
              <w:t xml:space="preserve"> </w:t>
            </w:r>
            <w:r w:rsidRPr="00CE52DA">
              <w:rPr>
                <w:lang w:val="en-US"/>
              </w:rPr>
              <w:t>(€)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SD per PE</w:t>
            </w:r>
            <w:r w:rsidRPr="00CE52DA" w:rsidDel="00642B19">
              <w:rPr>
                <w:lang w:val="en-US"/>
              </w:rPr>
              <w:t xml:space="preserve"> </w:t>
            </w:r>
            <w:r w:rsidRPr="00CE52DA">
              <w:rPr>
                <w:lang w:val="en-US"/>
              </w:rPr>
              <w:t>(€)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Range (€)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Median (€)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IQR [25%; 75%] (€)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proofErr w:type="spellStart"/>
            <w:r w:rsidRPr="00CE52DA">
              <w:rPr>
                <w:lang w:val="en-US"/>
              </w:rPr>
              <w:t>Tota</w:t>
            </w:r>
            <w:proofErr w:type="spellEnd"/>
            <w:r w:rsidRPr="00CE52DA">
              <w:t>l lab services (n)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 w:val="restar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Complete blood count</w:t>
            </w:r>
            <w:r w:rsidRPr="00CE52DA">
              <w:rPr>
                <w:bCs/>
              </w:rPr>
              <w:t> 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Blood count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5,746 (71.66)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1.86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2.01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0.50–25.00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2.50]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10,696.50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Differential blood count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121 (1.51)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1.18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1.37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0.40–10.00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0.40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[0.40; 1.60]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143.20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Total*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5,752 (71.74)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1.88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2.06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0.40–27.00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2.50]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10,839.70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 w:val="restar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Liver function test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AP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4,380 (54.63)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1.08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0.25–15.75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0.75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1.25]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4,415.25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AST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5,305 (66.16)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1.03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0.25–11.50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0.75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1.25]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5,434.25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ALT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6,053 (75.49)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1.16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1.14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0.25–16.00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0.75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1.50]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7,008.75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proofErr w:type="spellStart"/>
            <w:r w:rsidRPr="00CE52DA">
              <w:t>γGT</w:t>
            </w:r>
            <w:proofErr w:type="spellEnd"/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6,374 (79.50)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1.14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1.11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0.25–16.00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0.75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1.50]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7,288.50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 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Total*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6,604 (82.36)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3.66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3.94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0.25–57.50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2.50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[1.00; 5.00]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24,146.75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Bilirubin, total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Bilirubin, total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2,667 (33.26)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0.82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1.04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0.25–11.50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1.00]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2,174.00</w:t>
            </w:r>
          </w:p>
        </w:tc>
      </w:tr>
      <w:tr w:rsidR="00B01C20" w:rsidRPr="00D6764C" w:rsidTr="00E27F36">
        <w:trPr>
          <w:trHeight w:val="855"/>
        </w:trPr>
        <w:tc>
          <w:tcPr>
            <w:tcW w:w="635" w:type="pc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Amino terminal procollagen peptide (PIIINP)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Amino terminal procollagen peptide (PIIINP)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280 (3.49)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37.38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37.59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22.80–342.00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22.80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[22.80; 45.60]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10,465.20</w:t>
            </w:r>
          </w:p>
        </w:tc>
      </w:tr>
      <w:tr w:rsidR="00B01C20" w:rsidRPr="00D6764C" w:rsidTr="00E27F36">
        <w:trPr>
          <w:trHeight w:val="855"/>
        </w:trPr>
        <w:tc>
          <w:tcPr>
            <w:tcW w:w="635" w:type="pc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Hepatitis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Hepatitis B and hepatitis C serology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868 (10.83)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32.16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18.77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5.50–171.00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26.70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[21.20; 39.20]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27,917.90</w:t>
            </w:r>
          </w:p>
        </w:tc>
      </w:tr>
      <w:tr w:rsidR="00B01C20" w:rsidRPr="00D6764C" w:rsidTr="00E27F36">
        <w:trPr>
          <w:trHeight w:val="570"/>
        </w:trPr>
        <w:tc>
          <w:tcPr>
            <w:tcW w:w="635" w:type="pc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Tuberculosis screening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Interferon gamma release assay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550 (6.86)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63.59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19.16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58.00–174.00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58.00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[58.00; 58.00]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34,974.00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 w:val="restar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Urine status   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U-</w:t>
            </w:r>
            <w:proofErr w:type="spellStart"/>
            <w:r w:rsidRPr="00CE52DA">
              <w:t>stix</w:t>
            </w:r>
            <w:proofErr w:type="spellEnd"/>
            <w:r w:rsidRPr="00CE52DA">
              <w:t xml:space="preserve"> (until 31.03.2019)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3,381 (42.17)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1.17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1.02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0.50–9.00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1.50]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3,941.00</w:t>
            </w:r>
          </w:p>
        </w:tc>
      </w:tr>
      <w:tr w:rsidR="00B01C20" w:rsidRPr="00D6764C" w:rsidTr="00E27F36">
        <w:trPr>
          <w:trHeight w:val="570"/>
        </w:trPr>
        <w:tc>
          <w:tcPr>
            <w:tcW w:w="635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Urine strip test (from 01.04.2019)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2,419 (30.17)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1.19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1.02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0.50–10.50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1.50]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2,877.50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Uric acid levels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5,014 (62.53)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0.85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0.89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0.25–12.50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1.00]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4,260.00</w:t>
            </w:r>
          </w:p>
        </w:tc>
      </w:tr>
      <w:tr w:rsidR="00B01C20" w:rsidRPr="00D6764C" w:rsidTr="00E27F36">
        <w:trPr>
          <w:trHeight w:val="300"/>
        </w:trPr>
        <w:tc>
          <w:tcPr>
            <w:tcW w:w="635" w:type="pc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 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Total*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6,335 (79.01)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1.75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1.72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0.25–14.75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1.25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2.25]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11,078.50</w:t>
            </w:r>
          </w:p>
        </w:tc>
      </w:tr>
      <w:tr w:rsidR="00B01C20" w:rsidRPr="00D6764C" w:rsidTr="00E27F36">
        <w:trPr>
          <w:trHeight w:val="570"/>
        </w:trPr>
        <w:tc>
          <w:tcPr>
            <w:tcW w:w="635" w:type="pc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Glucose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  <w:rPr>
                <w:lang w:val="en-US"/>
              </w:rPr>
            </w:pPr>
            <w:r w:rsidRPr="00CE52DA">
              <w:rPr>
                <w:lang w:val="en-US"/>
              </w:rPr>
              <w:t>Fasting glucose (fasting blood sugar)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3,028 (37.77)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13.43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10.66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4.00–100.00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8.00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[4.00; 20.00]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40,668.00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Pregnancy test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Pregnancy detection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41 (0.51)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2.57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2.93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1.30–15.60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1.30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[1.30; 2.60]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105.30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lastRenderedPageBreak/>
              <w:t>Immunological tests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Serum albumin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844 (10.53)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9.30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11.46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3.40–156.40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6.80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[3.40; 10.20]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7,850.60</w:t>
            </w:r>
          </w:p>
        </w:tc>
      </w:tr>
      <w:tr w:rsidR="00B01C20" w:rsidRPr="00D6764C" w:rsidTr="00E27F36">
        <w:trPr>
          <w:trHeight w:val="570"/>
        </w:trPr>
        <w:tc>
          <w:tcPr>
            <w:tcW w:w="634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Renal function tests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Serum creatinine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6,885 (85.87)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1.57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1.54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0.25–17.45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1.20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2.00]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10,837.75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vMerge w:val="restar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Minerals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Potassium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4,783 (59.65)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0.88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1.08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0.25–12.00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1.00]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4,227.00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Sodium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4,192 (52.28)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0.85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1.06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0.25–12.00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1.00]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3,560.50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 xml:space="preserve">Magnesium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270 (3.37)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3.01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4.36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1.40–39.20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1.40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[1.40; 2.80]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813.40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Total*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4,926 (61.44)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1.75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2.65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0.25–53.20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[0.50; 2.00]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8,600.90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vMerge w:val="restart"/>
            <w:shd w:val="clear" w:color="auto" w:fill="auto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Lipids</w:t>
            </w:r>
          </w:p>
          <w:p w:rsidR="00B01C20" w:rsidRPr="00CE52DA" w:rsidRDefault="00B01C20" w:rsidP="00E27F36">
            <w:pPr>
              <w:spacing w:line="240" w:lineRule="auto"/>
            </w:pPr>
            <w:r w:rsidRPr="00CE52DA">
              <w:t> 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Total Cholesterol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4,167 (51.97)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0.63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0.61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0.25–12.50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0.75]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2,640.00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HDL cholesterol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3,198 (39.89)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0.52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0.25–12.50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0.75]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1,793.00</w:t>
            </w:r>
          </w:p>
        </w:tc>
      </w:tr>
      <w:tr w:rsidR="00B01C20" w:rsidRPr="00D6764C" w:rsidTr="00E27F36">
        <w:trPr>
          <w:trHeight w:val="315"/>
        </w:trPr>
        <w:tc>
          <w:tcPr>
            <w:tcW w:w="634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Fasting triglycerides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3,786 (47.22)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0.61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0.59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0.25–12.50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0.50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[0.25; 0.75]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2,320.75</w:t>
            </w:r>
          </w:p>
        </w:tc>
      </w:tr>
      <w:tr w:rsidR="00B01C20" w:rsidRPr="00D6764C" w:rsidTr="00E27F36">
        <w:trPr>
          <w:trHeight w:val="300"/>
        </w:trPr>
        <w:tc>
          <w:tcPr>
            <w:tcW w:w="634" w:type="pct"/>
            <w:vMerge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Total*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4,413 (55.04)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1.53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1.57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0.25–37.50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1.00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[0.75; 2.00]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6,753.75</w:t>
            </w:r>
          </w:p>
        </w:tc>
      </w:tr>
      <w:tr w:rsidR="00B01C20" w:rsidRPr="00D6764C" w:rsidTr="00E27F36">
        <w:trPr>
          <w:trHeight w:val="315"/>
        </w:trPr>
        <w:tc>
          <w:tcPr>
            <w:tcW w:w="634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Total*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 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8,018 (92.48)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26.49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36.81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0.25–418.50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12.10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[4.75; 32.25]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B01C20" w:rsidRPr="00CE52DA" w:rsidRDefault="00B01C20" w:rsidP="00E27F36">
            <w:pPr>
              <w:spacing w:line="240" w:lineRule="auto"/>
            </w:pPr>
            <w:r w:rsidRPr="00CE52DA">
              <w:t>196,412.35</w:t>
            </w:r>
          </w:p>
        </w:tc>
      </w:tr>
    </w:tbl>
    <w:p w:rsidR="00B01C20" w:rsidRPr="00D6764C" w:rsidRDefault="00B01C20" w:rsidP="00B01C20">
      <w:pPr>
        <w:rPr>
          <w:lang w:val="en-US"/>
        </w:rPr>
      </w:pPr>
      <w:r w:rsidRPr="00D6764C">
        <w:rPr>
          <w:rFonts w:eastAsia="Times"/>
          <w:lang w:val="en-US"/>
        </w:rPr>
        <w:t xml:space="preserve">Note: </w:t>
      </w:r>
      <w:r w:rsidRPr="00D6764C">
        <w:rPr>
          <w:lang w:val="en-US"/>
        </w:rPr>
        <w:t>Rx</w:t>
      </w:r>
      <w:r>
        <w:rPr>
          <w:lang w:val="en-US"/>
        </w:rPr>
        <w:t xml:space="preserve"> </w:t>
      </w:r>
      <w:r w:rsidRPr="00D6764C">
        <w:rPr>
          <w:rFonts w:eastAsia="Times"/>
          <w:lang w:val="en-US"/>
        </w:rPr>
        <w:t xml:space="preserve">= prescription; </w:t>
      </w:r>
      <w:hyperlink r:id="rId7" w:history="1">
        <w:r w:rsidRPr="00D6764C">
          <w:rPr>
            <w:lang w:val="en-US"/>
          </w:rPr>
          <w:t>P</w:t>
        </w:r>
      </w:hyperlink>
      <w:r w:rsidRPr="00D6764C">
        <w:rPr>
          <w:lang w:val="en-US"/>
        </w:rPr>
        <w:t>E</w:t>
      </w:r>
      <w:r>
        <w:rPr>
          <w:lang w:val="en-US"/>
        </w:rPr>
        <w:t xml:space="preserve"> </w:t>
      </w:r>
      <w:r w:rsidRPr="00D6764C">
        <w:rPr>
          <w:lang w:val="en-US"/>
        </w:rPr>
        <w:t>= persons</w:t>
      </w:r>
      <w:r w:rsidRPr="00D6764C">
        <w:rPr>
          <w:rFonts w:eastAsia="Times"/>
          <w:lang w:val="en-US"/>
        </w:rPr>
        <w:t>; SD</w:t>
      </w:r>
      <w:r>
        <w:rPr>
          <w:rFonts w:eastAsia="Times"/>
          <w:lang w:val="en-US"/>
        </w:rPr>
        <w:t xml:space="preserve"> </w:t>
      </w:r>
      <w:r w:rsidRPr="00D6764C">
        <w:rPr>
          <w:rFonts w:eastAsia="Times"/>
          <w:lang w:val="en-US"/>
        </w:rPr>
        <w:t xml:space="preserve">= </w:t>
      </w:r>
      <w:r w:rsidRPr="00D6764C">
        <w:t>Standard deviation</w:t>
      </w:r>
      <w:r>
        <w:rPr>
          <w:rFonts w:eastAsia="Times"/>
          <w:lang w:val="en-US"/>
        </w:rPr>
        <w:t>;</w:t>
      </w:r>
      <w:r w:rsidRPr="00D6764C">
        <w:rPr>
          <w:rFonts w:eastAsia="Times"/>
          <w:lang w:val="en-US"/>
        </w:rPr>
        <w:t xml:space="preserve"> IQR</w:t>
      </w:r>
      <w:r>
        <w:rPr>
          <w:rFonts w:eastAsia="Times"/>
          <w:lang w:val="en-US"/>
        </w:rPr>
        <w:t xml:space="preserve"> </w:t>
      </w:r>
      <w:r w:rsidRPr="00D6764C">
        <w:rPr>
          <w:rFonts w:eastAsia="Times"/>
          <w:lang w:val="en-US"/>
        </w:rPr>
        <w:t xml:space="preserve">= </w:t>
      </w:r>
      <w:r w:rsidRPr="00D6764C">
        <w:t>Interquartile range</w:t>
      </w:r>
    </w:p>
    <w:p w:rsidR="00B01C20" w:rsidRPr="00CE52DA" w:rsidRDefault="00B01C20">
      <w:pPr>
        <w:rPr>
          <w:lang w:val="en-US"/>
        </w:rPr>
      </w:pPr>
      <w:r w:rsidRPr="00D6764C">
        <w:rPr>
          <w:lang w:val="en-US"/>
        </w:rPr>
        <w:t>*Multiple counting possible</w:t>
      </w:r>
      <w:bookmarkStart w:id="0" w:name="_GoBack"/>
      <w:bookmarkEnd w:id="0"/>
    </w:p>
    <w:sectPr w:rsidR="00B01C20" w:rsidRPr="00CE52DA" w:rsidSect="00CE5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7" w:bottom="1134" w:left="1417" w:header="720" w:footer="720" w:gutter="0"/>
      <w:lnNumType w:countBy="1" w:restart="continuous"/>
      <w:pgNumType w:fmt="numberInDash"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5E" w:rsidRDefault="00A4649D" w:rsidP="00D6764C">
      <w:r>
        <w:separator/>
      </w:r>
    </w:p>
  </w:endnote>
  <w:endnote w:type="continuationSeparator" w:id="0">
    <w:p w:rsidR="00F3035E" w:rsidRDefault="00A4649D" w:rsidP="00D6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19" w:rsidRDefault="00EE7D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0A" w:rsidRPr="00347C25" w:rsidRDefault="00A9400A" w:rsidP="00457B9E">
    <w:pPr>
      <w:pStyle w:val="Fuzeile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0A" w:rsidRDefault="00A940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5E" w:rsidRDefault="00A4649D" w:rsidP="00D6764C">
      <w:r>
        <w:separator/>
      </w:r>
    </w:p>
  </w:footnote>
  <w:footnote w:type="continuationSeparator" w:id="0">
    <w:p w:rsidR="00F3035E" w:rsidRDefault="00A4649D" w:rsidP="00D6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0A" w:rsidRDefault="00A9400A" w:rsidP="00D676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0A" w:rsidRPr="004E545F" w:rsidRDefault="00A9400A" w:rsidP="00D6764C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0A" w:rsidRDefault="00A9400A" w:rsidP="00457B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E3ED2"/>
    <w:multiLevelType w:val="hybridMultilevel"/>
    <w:tmpl w:val="B614AFDA"/>
    <w:lvl w:ilvl="0" w:tplc="D97E7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2DAC"/>
    <w:multiLevelType w:val="hybridMultilevel"/>
    <w:tmpl w:val="3CD89AAA"/>
    <w:lvl w:ilvl="0" w:tplc="D97E7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15"/>
    <w:rsid w:val="00093A3E"/>
    <w:rsid w:val="000E0527"/>
    <w:rsid w:val="00146B4A"/>
    <w:rsid w:val="00321220"/>
    <w:rsid w:val="003B6996"/>
    <w:rsid w:val="0042575F"/>
    <w:rsid w:val="00457B9E"/>
    <w:rsid w:val="00565F66"/>
    <w:rsid w:val="00616DCC"/>
    <w:rsid w:val="00676079"/>
    <w:rsid w:val="0069540F"/>
    <w:rsid w:val="00777C56"/>
    <w:rsid w:val="00791926"/>
    <w:rsid w:val="007A0384"/>
    <w:rsid w:val="008118D8"/>
    <w:rsid w:val="009A3B96"/>
    <w:rsid w:val="00A41BE6"/>
    <w:rsid w:val="00A4649D"/>
    <w:rsid w:val="00A5734D"/>
    <w:rsid w:val="00A9400A"/>
    <w:rsid w:val="00AB17EC"/>
    <w:rsid w:val="00AD1415"/>
    <w:rsid w:val="00B01C20"/>
    <w:rsid w:val="00BA1637"/>
    <w:rsid w:val="00BB793D"/>
    <w:rsid w:val="00BD726A"/>
    <w:rsid w:val="00C2409D"/>
    <w:rsid w:val="00CD4373"/>
    <w:rsid w:val="00CD6AFE"/>
    <w:rsid w:val="00CE52DA"/>
    <w:rsid w:val="00D04FD9"/>
    <w:rsid w:val="00D106A9"/>
    <w:rsid w:val="00D1721D"/>
    <w:rsid w:val="00D65208"/>
    <w:rsid w:val="00D6764C"/>
    <w:rsid w:val="00D912C0"/>
    <w:rsid w:val="00DE3BCB"/>
    <w:rsid w:val="00E22AAE"/>
    <w:rsid w:val="00E2387C"/>
    <w:rsid w:val="00EC40C0"/>
    <w:rsid w:val="00EE7D19"/>
    <w:rsid w:val="00F3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9FAD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764C"/>
    <w:pPr>
      <w:spacing w:after="240" w:line="360" w:lineRule="auto"/>
    </w:pPr>
    <w:rPr>
      <w:rFonts w:ascii="Arial" w:eastAsia="Times New Roman" w:hAnsi="Arial" w:cs="Arial"/>
      <w:sz w:val="2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2AAE"/>
    <w:pPr>
      <w:ind w:left="720"/>
      <w:contextualSpacing/>
    </w:pPr>
  </w:style>
  <w:style w:type="paragraph" w:styleId="Beschriftung">
    <w:name w:val="caption"/>
    <w:basedOn w:val="Standard"/>
    <w:next w:val="Standard"/>
    <w:qFormat/>
    <w:rsid w:val="00D65208"/>
    <w:rPr>
      <w:b/>
      <w:bCs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2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20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2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2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2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52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5208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rsid w:val="00777C56"/>
    <w:pPr>
      <w:tabs>
        <w:tab w:val="left" w:pos="993"/>
        <w:tab w:val="right" w:pos="9072"/>
      </w:tabs>
      <w:spacing w:line="220" w:lineRule="exact"/>
    </w:pPr>
    <w:rPr>
      <w:rFonts w:asciiTheme="minorHAnsi" w:hAnsiTheme="minorHAnsi"/>
      <w:color w:val="000000" w:themeColor="text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77C56"/>
    <w:rPr>
      <w:rFonts w:eastAsia="Times New Roman" w:cs="Arial"/>
      <w:color w:val="000000" w:themeColor="text1"/>
      <w:sz w:val="16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77C56"/>
    <w:pPr>
      <w:autoSpaceDE w:val="0"/>
      <w:autoSpaceDN w:val="0"/>
      <w:adjustRightInd w:val="0"/>
    </w:pPr>
    <w:rPr>
      <w:rFonts w:asciiTheme="minorHAnsi" w:hAnsiTheme="minorHAnsi"/>
      <w:color w:val="505050"/>
      <w:sz w:val="16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777C56"/>
    <w:rPr>
      <w:rFonts w:eastAsia="Times New Roman" w:cs="Arial"/>
      <w:color w:val="505050"/>
      <w:sz w:val="16"/>
      <w:szCs w:val="14"/>
      <w:lang w:eastAsia="de-DE"/>
    </w:rPr>
  </w:style>
  <w:style w:type="character" w:styleId="Seitenzahl">
    <w:name w:val="page number"/>
    <w:basedOn w:val="Absatz-Standardschriftart"/>
    <w:rsid w:val="00777C56"/>
  </w:style>
  <w:style w:type="character" w:styleId="Zeilennummer">
    <w:name w:val="line number"/>
    <w:basedOn w:val="Absatz-Standardschriftart"/>
    <w:uiPriority w:val="99"/>
    <w:semiHidden/>
    <w:unhideWhenUsed/>
    <w:rsid w:val="00D6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bbreviations.com/term/165974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2025-06-17T08:57:00Z</dcterms:created>
  <dcterms:modified xsi:type="dcterms:W3CDTF">2025-07-09T09:50:00Z</dcterms:modified>
</cp:coreProperties>
</file>