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40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>Supplementary Materials</w:t>
      </w:r>
    </w:p>
    <w:p w14:paraId="4BEE16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</w:p>
    <w:tbl>
      <w:tblPr>
        <w:tblStyle w:val="2"/>
        <w:tblW w:w="6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5041"/>
      </w:tblGrid>
      <w:tr w14:paraId="1AD8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0D2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Table S1 CHS-DRG Core Disease Diagnosis Related Group (ADRG) in Neurology</w:t>
            </w:r>
          </w:p>
        </w:tc>
      </w:tr>
      <w:tr w14:paraId="4B75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C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ADRG encoding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C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ADRG name</w:t>
            </w:r>
          </w:p>
        </w:tc>
      </w:tr>
      <w:tr w14:paraId="70C6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5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5B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Thrombolytic therapy for cerebrovascular disease</w:t>
            </w:r>
          </w:p>
        </w:tc>
      </w:tr>
      <w:tr w14:paraId="47F2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6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Intracranial hemorrhagic disorder</w:t>
            </w:r>
          </w:p>
        </w:tc>
      </w:tr>
      <w:tr w14:paraId="537B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1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B1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Cerebral ischemic disease</w:t>
            </w:r>
          </w:p>
        </w:tc>
      </w:tr>
      <w:tr w14:paraId="68F0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8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4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Non-traumatic disorder of consciousness</w:t>
            </w:r>
          </w:p>
        </w:tc>
      </w:tr>
      <w:tr w14:paraId="08F8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6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Viral brain, spinal cord and meningitis</w:t>
            </w:r>
          </w:p>
        </w:tc>
      </w:tr>
      <w:tr w14:paraId="7A72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4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infections of the nervous system</w:t>
            </w:r>
          </w:p>
        </w:tc>
      </w:tr>
      <w:tr w14:paraId="701D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E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tumor</w:t>
            </w:r>
          </w:p>
        </w:tc>
      </w:tr>
      <w:tr w14:paraId="6AA3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0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Degenerative disorders of the nervous system</w:t>
            </w:r>
          </w:p>
        </w:tc>
      </w:tr>
      <w:tr w14:paraId="1C41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D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1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Demyelinating disease and cerebellar ataxia</w:t>
            </w:r>
          </w:p>
        </w:tc>
      </w:tr>
      <w:tr w14:paraId="2159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2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D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Epilepsy</w:t>
            </w:r>
          </w:p>
        </w:tc>
      </w:tr>
      <w:tr w14:paraId="7C35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C5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Neurogenic myopathy</w:t>
            </w:r>
          </w:p>
        </w:tc>
      </w:tr>
      <w:tr w14:paraId="6EB1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4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D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Headache</w:t>
            </w:r>
          </w:p>
        </w:tc>
      </w:tr>
      <w:tr w14:paraId="7FAD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4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8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 disorder of the nervous system</w:t>
            </w:r>
          </w:p>
        </w:tc>
      </w:tr>
      <w:tr w14:paraId="7178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A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2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Cerebral palsy</w:t>
            </w:r>
          </w:p>
        </w:tc>
      </w:tr>
      <w:tr w14:paraId="56FF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7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9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Brain dysfunction</w:t>
            </w:r>
          </w:p>
        </w:tc>
      </w:tr>
      <w:tr w14:paraId="79F6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9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D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Cranial/peripheral nerve disorders</w:t>
            </w:r>
          </w:p>
        </w:tc>
      </w:tr>
      <w:tr w14:paraId="50A2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3E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CE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disorders of the nervous system</w:t>
            </w:r>
          </w:p>
        </w:tc>
      </w:tr>
      <w:tr w14:paraId="0D3C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Note ADRG codeing is from </w:t>
            </w:r>
            <w:r>
              <w:rPr>
                <w:rFonts w:hint="default" w:ascii="Arial" w:hAnsi="Arial" w:eastAsia="PingFang SC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China Healthcare Security Diagnosis Related Groups, known as CHS-DRG,introduced by the National Medical Insurance Administration in 2019.</w:t>
            </w:r>
          </w:p>
        </w:tc>
      </w:tr>
    </w:tbl>
    <w:p w14:paraId="543587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sectPr>
          <w:pgSz w:w="12240" w:h="15840"/>
          <w:pgMar w:top="1440" w:right="1800" w:bottom="1440" w:left="1800" w:header="720" w:footer="720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87"/>
        <w:gridCol w:w="1273"/>
        <w:gridCol w:w="5705"/>
      </w:tblGrid>
      <w:tr w14:paraId="0F1A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AAD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1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Table S2 Evaluation dimensions and outcome variables</w:t>
            </w:r>
          </w:p>
        </w:tc>
      </w:tr>
      <w:tr w14:paraId="0E4E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5FE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Evaluation dimensions</w:t>
            </w:r>
          </w:p>
        </w:tc>
        <w:tc>
          <w:tcPr>
            <w:tcW w:w="33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DC7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71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196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Outcome variables</w:t>
            </w:r>
          </w:p>
        </w:tc>
        <w:tc>
          <w:tcPr>
            <w:tcW w:w="322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4E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Calculation formula or definition</w:t>
            </w:r>
          </w:p>
        </w:tc>
      </w:tr>
      <w:tr w14:paraId="6E7F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Inpatient service capacity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C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Y1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7E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Total DRG weight (total weight)</w:t>
            </w:r>
          </w:p>
        </w:tc>
        <w:tc>
          <w:tcPr>
            <w:tcW w:w="32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C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Σ (Cost weight of a specific DRG × Number of cases of that DRG in the Department )</w:t>
            </w:r>
          </w:p>
        </w:tc>
      </w:tr>
      <w:tr w14:paraId="3D18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6F412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26260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Y2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00C8E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Case mix index (CMI)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78E0D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Σ (Cost weight of a specific DRG × Number of cases of that DRG in the department) / Total number of cases in the department</w:t>
            </w:r>
          </w:p>
        </w:tc>
      </w:tr>
      <w:tr w14:paraId="6671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2380A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9ABF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Y3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53CE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Number of disease types in DRGs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20461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ΣThe range of disease types covered by treated cases</w:t>
            </w:r>
          </w:p>
        </w:tc>
      </w:tr>
      <w:tr w14:paraId="2BBE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4F0A3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Inpatient service cost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F266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Y4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66FC3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Average length of stay (days)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5B073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Average length of stay = Total bed days occupied by discharged patients / Number of discharged patients during the same period</w:t>
            </w:r>
          </w:p>
        </w:tc>
      </w:tr>
      <w:tr w14:paraId="38AF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15D69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3D80B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Y5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3E6EF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Average cost per inpatient stay (RMB)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0FC91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Total cost incurred by inpatients receiving treatment in the medical institution / Number of inpatient stays within a specific time period</w:t>
            </w:r>
          </w:p>
        </w:tc>
      </w:tr>
      <w:tr w14:paraId="463B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376F7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668DC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Y6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1F663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Average medication cost per inpatient stay (RMB)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3AA1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Total medication cost for inpatients in the department / Number of inpatient stays within a specific time period</w:t>
            </w:r>
          </w:p>
        </w:tc>
      </w:tr>
      <w:tr w14:paraId="58AE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4129E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74537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Y7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1F564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Medication cost ratio (%)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27A57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Average medication cost per inpatient stay / Average cost per inpatient stay</w:t>
            </w:r>
          </w:p>
        </w:tc>
      </w:tr>
      <w:tr w14:paraId="563C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41DFA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2C811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Y8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54073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Average material cost per inpatient stay (RMB)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72A5E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Total material cost for inpatients in the department / Number of inpatient stays within a specific time period</w:t>
            </w:r>
          </w:p>
        </w:tc>
      </w:tr>
      <w:tr w14:paraId="745B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3249C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B587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Y9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2ED4A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Material cost ratio (%)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08758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Total material cost per inpatient stay / Total cost per inpatient stay</w:t>
            </w:r>
          </w:p>
        </w:tc>
      </w:tr>
      <w:tr w14:paraId="0AD1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00E2E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Inpatient service efficiency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0938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Y10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2BCA5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Cost efficiency index</w:t>
            </w:r>
          </w:p>
        </w:tc>
        <w:tc>
          <w:tcPr>
            <w:tcW w:w="3220" w:type="pct"/>
            <w:shd w:val="clear" w:color="auto" w:fill="auto"/>
            <w:noWrap/>
            <w:vAlign w:val="center"/>
          </w:tcPr>
          <w:p w14:paraId="3E027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Σ (Cost ratio of each DRG group in the department × Number of cases in Each DRG group in the department) / Total number of cases in DRG groups</w:t>
            </w:r>
          </w:p>
        </w:tc>
      </w:tr>
      <w:tr w14:paraId="3A6B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071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18C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Y11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ADD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Time efficiency index</w:t>
            </w:r>
          </w:p>
        </w:tc>
        <w:tc>
          <w:tcPr>
            <w:tcW w:w="322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8EBA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Σ (Average length of stay ratio of each DRG group in the department × Number of cases in each DRG group in the hospital) / Total number of cases in DRG groups</w:t>
            </w:r>
          </w:p>
        </w:tc>
      </w:tr>
    </w:tbl>
    <w:p w14:paraId="3D446C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79290E87">
      <w:pP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br w:type="page"/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783"/>
      </w:tblGrid>
      <w:tr w14:paraId="2D1B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DDA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Table S3 The main Stata commands used for analysis in the study</w:t>
            </w:r>
          </w:p>
        </w:tc>
      </w:tr>
      <w:tr w14:paraId="59DE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6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Analysis</w:t>
            </w:r>
          </w:p>
        </w:tc>
        <w:tc>
          <w:tcPr>
            <w:tcW w:w="3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E1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Stata Commands</w:t>
            </w:r>
          </w:p>
        </w:tc>
      </w:tr>
      <w:tr w14:paraId="56FC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3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t-test</w:t>
            </w:r>
          </w:p>
        </w:tc>
        <w:tc>
          <w:tcPr>
            <w:tcW w:w="3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F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byte reform_period = 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replace reform_period = 1 if year &gt;= 202301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list Y1 reform_period in 1/10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tabulate reform_period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ttest Y1, by(reform_period)</w:t>
            </w:r>
          </w:p>
        </w:tc>
      </w:tr>
      <w:tr w14:paraId="4F92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D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itsa</w:t>
            </w:r>
          </w:p>
        </w:tc>
        <w:tc>
          <w:tcPr>
            <w:tcW w:w="3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9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year_str = string(year, "%06.0f")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year_part = substr(year_str, 1, 4)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month_part = substr(year_str, 5, 2)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month = ym(real(year_part), real(month_part))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format month %tm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destring Y1, replace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tsset group month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itsa Y1 month, trperiod(2023m1) treatid(1) figure lag(1)</w:t>
            </w:r>
          </w:p>
        </w:tc>
      </w:tr>
      <w:tr w14:paraId="172B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6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Durbin-Watson test</w:t>
            </w:r>
          </w:p>
        </w:tc>
        <w:tc>
          <w:tcPr>
            <w:tcW w:w="3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B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itsa Y1 month, trperiod(2023m1) treatid(1)  prais rhotype(tscorr)</w:t>
            </w:r>
          </w:p>
        </w:tc>
      </w:tr>
      <w:tr w14:paraId="5535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9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Cumby-Huizinga test</w:t>
            </w:r>
          </w:p>
        </w:tc>
        <w:tc>
          <w:tcPr>
            <w:tcW w:w="3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actest, lags(6)</w:t>
            </w:r>
          </w:p>
        </w:tc>
      </w:tr>
      <w:tr w14:paraId="1ADD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 code</w:t>
            </w:r>
          </w:p>
        </w:tc>
        <w:tc>
          <w:tcPr>
            <w:tcW w:w="3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E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import excel "C:\Users\lenovo\Desktop\dove 修改0707\data0707.xlsx", sheet("Sheet1") firstrow clear</w:t>
            </w:r>
          </w:p>
          <w:p w14:paraId="57F1B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FC7B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year_str = string(year, "%06.0f")</w:t>
            </w:r>
          </w:p>
          <w:p w14:paraId="2B37E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CD3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year_part = substr(year_str, 1, 4)</w:t>
            </w:r>
          </w:p>
          <w:p w14:paraId="0528D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month_part = substr(year_str, 5, 2)</w:t>
            </w:r>
          </w:p>
          <w:p w14:paraId="5946C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0E03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 month = ym(real(year_part), real(month_part))</w:t>
            </w:r>
          </w:p>
          <w:p w14:paraId="4043A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8BC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format month %tm</w:t>
            </w:r>
          </w:p>
          <w:p w14:paraId="04941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E06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destring x9, replace</w:t>
            </w:r>
          </w:p>
          <w:p w14:paraId="58C46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6C9A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tsset group month</w:t>
            </w:r>
          </w:p>
          <w:p w14:paraId="61AD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F60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itsa x9 month, trperiod(2023m1) treatid(1) lag(1) replace posttrend</w:t>
            </w:r>
          </w:p>
          <w:p w14:paraId="27CF5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7A40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EA26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regress x9 month if group == 1 &amp; month &lt;= tm(2023m1)  // 在干预前期</w:t>
            </w:r>
          </w:p>
          <w:p w14:paraId="35F50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regress x9 month if group == 1 &amp; month &gt; tm(2023m1)   // 在干预后期</w:t>
            </w:r>
          </w:p>
          <w:p w14:paraId="701B7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7FE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local num_tests 5</w:t>
            </w:r>
          </w:p>
          <w:p w14:paraId="0BE11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local alpha 0.05</w:t>
            </w:r>
          </w:p>
          <w:p w14:paraId="27404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local bonferroni_alpha = `alpha' / `num_tests'</w:t>
            </w:r>
          </w:p>
          <w:p w14:paraId="45C55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D0E4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019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regress x9 month if group == 1</w:t>
            </w:r>
          </w:p>
          <w:p w14:paraId="47CA6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local pval1 = _b[month]  </w:t>
            </w:r>
          </w:p>
          <w:p w14:paraId="01F87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5FAA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regress x9 month if group == 2</w:t>
            </w:r>
          </w:p>
          <w:p w14:paraId="6A38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local pval2 = _b[month] </w:t>
            </w:r>
            <w:bookmarkStart w:id="0" w:name="_GoBack"/>
            <w:bookmarkEnd w:id="0"/>
          </w:p>
          <w:p w14:paraId="3E5D1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 `pval1' &lt; `bonferroni_alpha' {</w:t>
            </w:r>
          </w:p>
          <w:p w14:paraId="6921E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display "Model 1 is significant after Bonferroni correction"</w:t>
            </w:r>
          </w:p>
          <w:p w14:paraId="0FA80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} </w:t>
            </w:r>
          </w:p>
          <w:p w14:paraId="1942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else {</w:t>
            </w:r>
          </w:p>
          <w:p w14:paraId="00430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display "Model 1 is not significant after Bonferroni correction"</w:t>
            </w:r>
          </w:p>
          <w:p w14:paraId="078FD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}</w:t>
            </w:r>
          </w:p>
          <w:p w14:paraId="1455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5638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 `pval2' &lt; `bonferroni_alpha' {</w:t>
            </w:r>
          </w:p>
          <w:p w14:paraId="1BF8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display "Model 2 is significant after Bonferroni correction"</w:t>
            </w:r>
          </w:p>
          <w:p w14:paraId="508F1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} </w:t>
            </w:r>
          </w:p>
          <w:p w14:paraId="13329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else {</w:t>
            </w:r>
          </w:p>
          <w:p w14:paraId="499E7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display "Model 2 is not significant after Bonferroni correction"</w:t>
            </w:r>
          </w:p>
          <w:p w14:paraId="21E93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}</w:t>
            </w:r>
          </w:p>
          <w:p w14:paraId="308B7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36FD4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75DB4343"/>
    <w:rsid w:val="0B736675"/>
    <w:rsid w:val="214050E2"/>
    <w:rsid w:val="217A4862"/>
    <w:rsid w:val="25FD4343"/>
    <w:rsid w:val="404D430C"/>
    <w:rsid w:val="46847CBF"/>
    <w:rsid w:val="471F3799"/>
    <w:rsid w:val="628F3BFE"/>
    <w:rsid w:val="75D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516</Words>
  <Characters>2801</Characters>
  <Lines>0</Lines>
  <Paragraphs>0</Paragraphs>
  <TotalTime>40</TotalTime>
  <ScaleCrop>false</ScaleCrop>
  <LinksUpToDate>false</LinksUpToDate>
  <CharactersWithSpaces>3218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2024-07-29T15:26:00Z</dcterms:created>
  <dc:creator>Dsix</dc:creator>
  <cp:lastModifiedBy>Dsix</cp:lastModifiedBy>
  <dcterms:modified xsi:type="dcterms:W3CDTF">2025-07-07T11:03:09Z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AD0112BE6E024BBC8E56B05CB7848474_13</vt:lpwstr>
  </property>
  <property fmtid="{D5CDD505-2E9C-101B-9397-08002B2CF9AE}" pid="4" name="KSOTemplateDocerSaveRecord">
    <vt:lpwstr>eyJoZGlkIjoiNTdmYjgyYzMzZGI3OTYxMjE0ZDEzZWVmYTgwMGI5ZDAiLCJ1c2VySWQiOiIzODM3MDMzNDgifQ==</vt:lpwstr>
  </property>
</Properties>
</file>