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0ED0">
      <w:pPr>
        <w:rPr>
          <w:b/>
          <w:bCs w:val="0"/>
        </w:rPr>
      </w:pPr>
      <w:r>
        <w:rPr>
          <w:rFonts w:hint="eastAsia"/>
          <w:b/>
          <w:bCs w:val="0"/>
        </w:rPr>
        <w:t>Inclusion criteria</w:t>
      </w:r>
    </w:p>
    <w:p w14:paraId="0D1113E1">
      <w:r>
        <w:rPr>
          <w:rFonts w:hint="eastAsia"/>
        </w:rPr>
        <w:t>(1) Age 18-75 years old, male or female, voluntary and signed informed consent for this experiment;</w:t>
      </w:r>
    </w:p>
    <w:p w14:paraId="6EEC1E8A">
      <w:r>
        <w:rPr>
          <w:rFonts w:hint="eastAsia"/>
        </w:rPr>
        <w:t>(2) Patients undergoing thoracoscopic pulmonary resection under general anesthesia during the day;</w:t>
      </w:r>
    </w:p>
    <w:p w14:paraId="4E0AB77D">
      <w:r>
        <w:rPr>
          <w:rFonts w:hint="eastAsia"/>
        </w:rPr>
        <w:t>(3) ASA Grade I-II;</w:t>
      </w:r>
    </w:p>
    <w:p w14:paraId="67FB833E"/>
    <w:p w14:paraId="662E2A46">
      <w:pPr>
        <w:rPr>
          <w:b/>
          <w:bCs w:val="0"/>
        </w:rPr>
      </w:pPr>
      <w:r>
        <w:rPr>
          <w:rFonts w:hint="eastAsia"/>
          <w:b/>
          <w:bCs w:val="0"/>
        </w:rPr>
        <w:t>Exclusion criteria</w:t>
      </w:r>
    </w:p>
    <w:p w14:paraId="113FC9A3">
      <w:r>
        <w:rPr>
          <w:rFonts w:hint="eastAsia"/>
        </w:rPr>
        <w:t>(1) Patients who have undergone surgery following the meridian line at the meridian point;</w:t>
      </w:r>
    </w:p>
    <w:p w14:paraId="51EF545E">
      <w:r>
        <w:rPr>
          <w:rFonts w:hint="eastAsia"/>
        </w:rPr>
        <w:t>(2) Patients with local skin infection at meridian points;</w:t>
      </w:r>
    </w:p>
    <w:p w14:paraId="37FBE793">
      <w:r>
        <w:rPr>
          <w:rFonts w:hint="eastAsia"/>
        </w:rPr>
        <w:t>(3) Patients with upper or lower limb nerve damage;</w:t>
      </w:r>
    </w:p>
    <w:p w14:paraId="5D6A19B9">
      <w:r>
        <w:rPr>
          <w:rFonts w:hint="eastAsia"/>
        </w:rPr>
        <w:t>(4) Patients with a long history of sedation, pain relief, or antidepressant use;</w:t>
      </w:r>
    </w:p>
    <w:p w14:paraId="360FAB7D">
      <w:r>
        <w:rPr>
          <w:rFonts w:hint="eastAsia"/>
        </w:rPr>
        <w:t>(5) Patients with prior surgical history and chronic incision pain;</w:t>
      </w:r>
    </w:p>
    <w:p w14:paraId="5DF6884C">
      <w:r>
        <w:rPr>
          <w:rFonts w:hint="eastAsia"/>
        </w:rPr>
        <w:t>(6) Patients who are unable to complete the study plan, including language difficulties, infectious diseases and other medical histories.</w:t>
      </w:r>
    </w:p>
    <w:p w14:paraId="5CC7B837"/>
    <w:p w14:paraId="64A65836">
      <w:r>
        <w:rPr>
          <w:rFonts w:hint="eastAsia"/>
          <w:b/>
          <w:bCs w:val="0"/>
        </w:rPr>
        <w:t>Anesthesia management</w:t>
      </w:r>
    </w:p>
    <w:p w14:paraId="63019AE5">
      <w:r>
        <w:rPr>
          <w:rFonts w:hint="eastAsia"/>
        </w:rPr>
        <w:t>Both groups were treated with standardized general anesthesia and nerve block.</w:t>
      </w:r>
    </w:p>
    <w:p w14:paraId="3A4C1961">
      <w:r>
        <w:rPr>
          <w:rFonts w:hint="eastAsia"/>
        </w:rPr>
        <w:t>Methods of anesthesia: patient was admitted into the room, routine monitoring, mask pre-oxygenation, inhaled oxygen concentration of 100%. After induction of anesthesia, endotracheal intubation was performed, and ultrasound-guided T4-7 thoracic p</w:t>
      </w:r>
      <w:bookmarkStart w:id="0" w:name="_GoBack"/>
      <w:bookmarkEnd w:id="0"/>
      <w:r>
        <w:rPr>
          <w:rFonts w:hint="eastAsia"/>
        </w:rPr>
        <w:t>aravertebral nerve block was performed after lateral lateral position. During the operation, single lung ventilation was performed, protective lung ventilation strategy was adopted, 41℃ infusion heating and warm air heater were used, analgesic drugs were given as needed during the operation, and postoperative patient controlled analgesia (PCA) measures were not routinely applied.</w:t>
      </w:r>
    </w:p>
    <w:p w14:paraId="047F8C33"/>
    <w:p w14:paraId="69117172">
      <w:r>
        <w:rPr>
          <w:rFonts w:hint="eastAsia"/>
        </w:rPr>
        <w:t>Intraoperative administration: The plasma target concentration of propofol was 3.0-4.0μg /ml, sufentanil 0.5μg /kg and rocuronium 0.6-0.9 mg/kg for anesthesia induction. The nerve blocking drug was 30ml 0.5% ropivacaine</w:t>
      </w:r>
      <w:r>
        <w:rPr>
          <w:rFonts w:hint="eastAsia"/>
          <w:lang w:val="en-US" w:eastAsia="zh-CN"/>
        </w:rPr>
        <w:t>, which is carefully diluted with sterile normal saline</w:t>
      </w:r>
      <w:r>
        <w:rPr>
          <w:rFonts w:hint="eastAsia"/>
        </w:rPr>
        <w:t>. The plasma target concentration of propofol was 2.0-3.0μg /ml, remifentanil was 2.0-3.0 ng/ml, and rocuronium was 0.6-0.8 mg/kg/h. The target dual frequency index (BIS) is between 40-60. Heart rate and blood pressure will be maintained within 20% of the baseline value. After the operation, Burentin was given 200mg of antagonistic muscle relaxant.</w:t>
      </w:r>
    </w:p>
    <w:p w14:paraId="2D603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OWMxMTk1MmQ4YWVlNTExN2Y0NWQ1ODg4MTIzM2MifQ=="/>
  </w:docVars>
  <w:rsids>
    <w:rsidRoot w:val="00EB63E0"/>
    <w:rsid w:val="00504B8D"/>
    <w:rsid w:val="00EB63E0"/>
    <w:rsid w:val="16A86180"/>
    <w:rsid w:val="231B6DA7"/>
    <w:rsid w:val="35C455A5"/>
    <w:rsid w:val="44A368C5"/>
    <w:rsid w:val="483954F6"/>
    <w:rsid w:val="721E2582"/>
    <w:rsid w:val="7E90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cs="宋体" w:eastAsiaTheme="minorEastAsia"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3097</Characters>
  <Lines>60</Lines>
  <Paragraphs>31</Paragraphs>
  <TotalTime>6</TotalTime>
  <ScaleCrop>false</ScaleCrop>
  <LinksUpToDate>false</LinksUpToDate>
  <CharactersWithSpaces>3603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2022-03-24T02:27:00Z</dcterms:created>
  <dc:creator>wsy</dc:creator>
  <cp:lastModifiedBy>balabala</cp:lastModifiedBy>
  <dcterms:modified xsi:type="dcterms:W3CDTF">2025-05-17T14:00:21Z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8E5A31A093484C488F21CC90FD3BA5F7</vt:lpwstr>
  </property>
  <property fmtid="{D5CDD505-2E9C-101B-9397-08002B2CF9AE}" pid="4" name="KSOTemplateDocerSaveRecord">
    <vt:lpwstr>eyJoZGlkIjoiNDBjMGExYzU2NTMzMmVhMThkOGY3ZDY1NmQ5OWEzZDkiLCJ1c2VySWQiOiIyNTgzNDIxMjEifQ==</vt:lpwstr>
  </property>
</Properties>
</file>