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257A" w14:textId="5626A45D" w:rsidR="0097714C" w:rsidRPr="00B71520" w:rsidRDefault="00B71520" w:rsidP="00B71520">
      <w:pPr>
        <w:spacing w:line="480" w:lineRule="auto"/>
        <w:jc w:val="center"/>
        <w:rPr>
          <w:rFonts w:ascii="Times New Roman" w:eastAsia="宋体" w:hAnsi="Times New Roman"/>
          <w:b/>
          <w:bCs/>
          <w:sz w:val="28"/>
          <w:szCs w:val="24"/>
        </w:rPr>
      </w:pPr>
      <w:r w:rsidRPr="00B71520">
        <w:rPr>
          <w:rFonts w:ascii="Times New Roman" w:eastAsia="宋体" w:hAnsi="Times New Roman" w:hint="eastAsia"/>
          <w:b/>
          <w:bCs/>
          <w:sz w:val="28"/>
          <w:szCs w:val="24"/>
        </w:rPr>
        <w:t>Supplementary Material</w:t>
      </w:r>
    </w:p>
    <w:p w14:paraId="69D99D81" w14:textId="64F83D1D" w:rsidR="009964BE" w:rsidRDefault="003B6858" w:rsidP="00B71520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Supplementary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="009964BE">
        <w:rPr>
          <w:rFonts w:ascii="Times New Roman" w:eastAsia="宋体" w:hAnsi="Times New Roman" w:cs="Times New Roman" w:hint="eastAsia"/>
          <w:b/>
          <w:bCs/>
          <w:sz w:val="24"/>
        </w:rPr>
        <w:t>Methods</w:t>
      </w:r>
    </w:p>
    <w:p w14:paraId="0A0D40CF" w14:textId="369E7677" w:rsidR="009964BE" w:rsidRPr="009964BE" w:rsidRDefault="00A20B6E" w:rsidP="00B71520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1 </w:t>
      </w:r>
      <w:r w:rsidR="009964BE" w:rsidRPr="007A66BC">
        <w:rPr>
          <w:rFonts w:ascii="Times New Roman" w:eastAsia="宋体" w:hAnsi="Times New Roman" w:cs="Times New Roman"/>
          <w:b/>
          <w:bCs/>
          <w:sz w:val="24"/>
        </w:rPr>
        <w:t xml:space="preserve">Inclusion </w:t>
      </w:r>
      <w:r w:rsidR="009964BE" w:rsidRPr="007A66BC">
        <w:rPr>
          <w:rFonts w:ascii="Times New Roman" w:eastAsia="宋体" w:hAnsi="Times New Roman" w:cs="Times New Roman" w:hint="eastAsia"/>
          <w:b/>
          <w:bCs/>
          <w:sz w:val="24"/>
        </w:rPr>
        <w:t>and e</w:t>
      </w:r>
      <w:r w:rsidR="009964BE" w:rsidRPr="007A66BC">
        <w:rPr>
          <w:rFonts w:ascii="Times New Roman" w:eastAsia="宋体" w:hAnsi="Times New Roman" w:cs="Times New Roman"/>
          <w:b/>
          <w:bCs/>
          <w:sz w:val="24"/>
        </w:rPr>
        <w:t>xclusion criteria</w:t>
      </w:r>
      <w:r w:rsidR="009964BE" w:rsidRPr="009964BE">
        <w:rPr>
          <w:rFonts w:ascii="Times New Roman" w:eastAsia="宋体" w:hAnsi="Times New Roman" w:cs="Times New Roman"/>
          <w:b/>
          <w:bCs/>
          <w:sz w:val="24"/>
        </w:rPr>
        <w:t xml:space="preserve"> </w:t>
      </w:r>
    </w:p>
    <w:p w14:paraId="2C333D26" w14:textId="42C13B50" w:rsidR="00B71520" w:rsidRDefault="00B71520" w:rsidP="009964BE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175220">
        <w:rPr>
          <w:rFonts w:ascii="Times New Roman" w:eastAsia="宋体" w:hAnsi="Times New Roman" w:cs="Times New Roman"/>
          <w:sz w:val="24"/>
        </w:rPr>
        <w:t xml:space="preserve">Inclusion criteria were as follows: (1) confirmed </w:t>
      </w:r>
      <w:r w:rsidRPr="00363D1E">
        <w:rPr>
          <w:rFonts w:ascii="Times New Roman" w:eastAsia="宋体" w:hAnsi="Times New Roman" w:cs="Times New Roman"/>
          <w:sz w:val="24"/>
        </w:rPr>
        <w:t>H</w:t>
      </w:r>
      <w:r w:rsidRPr="00175220">
        <w:rPr>
          <w:rFonts w:ascii="Times New Roman" w:eastAsia="宋体" w:hAnsi="Times New Roman" w:cs="Times New Roman"/>
          <w:sz w:val="24"/>
        </w:rPr>
        <w:t>IV-positive status; (2) at least 18 years of age; (3) right-handedness</w:t>
      </w:r>
      <w:r w:rsidRPr="00363D1E">
        <w:rPr>
          <w:rFonts w:ascii="Times New Roman" w:eastAsia="宋体" w:hAnsi="Times New Roman" w:cs="Times New Roman"/>
          <w:sz w:val="24"/>
        </w:rPr>
        <w:t>;</w:t>
      </w:r>
      <w:r w:rsidRPr="00175220">
        <w:rPr>
          <w:rFonts w:ascii="Times New Roman" w:eastAsia="宋体" w:hAnsi="Times New Roman" w:cs="Times New Roman"/>
          <w:sz w:val="24"/>
        </w:rPr>
        <w:t xml:space="preserve"> (4) initiation of ART with good adherence</w:t>
      </w:r>
      <w:r w:rsidRPr="00363D1E">
        <w:rPr>
          <w:rFonts w:ascii="Times New Roman" w:eastAsia="宋体" w:hAnsi="Times New Roman" w:cs="Times New Roman"/>
          <w:sz w:val="24"/>
        </w:rPr>
        <w:t>; and (5)</w:t>
      </w:r>
      <w:r w:rsidRPr="00175220">
        <w:rPr>
          <w:rFonts w:ascii="Times New Roman" w:eastAsia="宋体" w:hAnsi="Times New Roman" w:cs="Times New Roman"/>
          <w:sz w:val="24"/>
        </w:rPr>
        <w:t xml:space="preserve"> no use of antipsychotic medications. Exclusion criteria included: (1)</w:t>
      </w:r>
      <w:r w:rsidRPr="00363D1E">
        <w:rPr>
          <w:rFonts w:ascii="Times New Roman" w:eastAsia="宋体" w:hAnsi="Times New Roman" w:cs="Times New Roman"/>
          <w:sz w:val="24"/>
        </w:rPr>
        <w:t xml:space="preserve"> presence of unstable opportunistic infection</w:t>
      </w:r>
      <w:r w:rsidRPr="00175220">
        <w:rPr>
          <w:rFonts w:ascii="Times New Roman" w:eastAsia="宋体" w:hAnsi="Times New Roman" w:cs="Times New Roman"/>
          <w:sz w:val="24"/>
        </w:rPr>
        <w:t>s</w:t>
      </w:r>
      <w:r w:rsidRPr="00363D1E">
        <w:rPr>
          <w:rFonts w:ascii="Times New Roman" w:eastAsia="宋体" w:hAnsi="Times New Roman" w:cs="Times New Roman"/>
          <w:sz w:val="24"/>
        </w:rPr>
        <w:t xml:space="preserve"> (including active tuberculosis or cryptococcal meningitis), </w:t>
      </w:r>
      <w:r w:rsidRPr="00697578">
        <w:rPr>
          <w:rFonts w:ascii="Times New Roman" w:eastAsia="宋体" w:hAnsi="Times New Roman" w:cs="Times New Roman"/>
          <w:sz w:val="24"/>
        </w:rPr>
        <w:t xml:space="preserve">(2) psychiatric </w:t>
      </w:r>
      <w:r w:rsidRPr="00175220">
        <w:rPr>
          <w:rFonts w:ascii="Times New Roman" w:eastAsia="宋体" w:hAnsi="Times New Roman" w:cs="Times New Roman"/>
          <w:sz w:val="24"/>
        </w:rPr>
        <w:t xml:space="preserve">disorders </w:t>
      </w:r>
      <w:r w:rsidRPr="00697578">
        <w:rPr>
          <w:rFonts w:ascii="Times New Roman" w:eastAsia="宋体" w:hAnsi="Times New Roman" w:cs="Times New Roman"/>
          <w:sz w:val="24"/>
        </w:rPr>
        <w:t>that might impact adherence to HIV care, (3) aminotransferases</w:t>
      </w:r>
      <w:r w:rsidRPr="00175220">
        <w:rPr>
          <w:rFonts w:ascii="Times New Roman" w:eastAsia="宋体" w:hAnsi="Times New Roman" w:cs="Times New Roman"/>
          <w:sz w:val="24"/>
        </w:rPr>
        <w:t xml:space="preserve"> levels </w:t>
      </w:r>
      <w:r w:rsidRPr="00697578">
        <w:rPr>
          <w:rFonts w:ascii="Times New Roman" w:eastAsia="宋体" w:hAnsi="Times New Roman" w:cs="Times New Roman"/>
          <w:sz w:val="24"/>
        </w:rPr>
        <w:t xml:space="preserve">3 times or more </w:t>
      </w:r>
      <w:r w:rsidRPr="00175220">
        <w:rPr>
          <w:rFonts w:ascii="Times New Roman" w:eastAsia="宋体" w:hAnsi="Times New Roman" w:cs="Times New Roman"/>
          <w:sz w:val="24"/>
        </w:rPr>
        <w:t xml:space="preserve">above </w:t>
      </w:r>
      <w:r w:rsidRPr="00697578">
        <w:rPr>
          <w:rFonts w:ascii="Times New Roman" w:eastAsia="宋体" w:hAnsi="Times New Roman" w:cs="Times New Roman"/>
          <w:sz w:val="24"/>
        </w:rPr>
        <w:t xml:space="preserve">the </w:t>
      </w:r>
      <w:r w:rsidRPr="00175220">
        <w:rPr>
          <w:rFonts w:ascii="Times New Roman" w:eastAsia="宋体" w:hAnsi="Times New Roman" w:cs="Times New Roman"/>
          <w:sz w:val="24"/>
        </w:rPr>
        <w:t xml:space="preserve">normal </w:t>
      </w:r>
      <w:r w:rsidRPr="00363D1E">
        <w:rPr>
          <w:rFonts w:ascii="Times New Roman" w:eastAsia="宋体" w:hAnsi="Times New Roman" w:cs="Times New Roman"/>
          <w:sz w:val="24"/>
        </w:rPr>
        <w:t>upper limits</w:t>
      </w:r>
      <w:r w:rsidRPr="00697578">
        <w:rPr>
          <w:rFonts w:ascii="Times New Roman" w:eastAsia="宋体" w:hAnsi="Times New Roman" w:cs="Times New Roman"/>
          <w:sz w:val="24"/>
        </w:rPr>
        <w:t xml:space="preserve">, (4) estimated glomerular filtration rate (eGFR) </w:t>
      </w:r>
      <w:r w:rsidRPr="00175220">
        <w:rPr>
          <w:rFonts w:ascii="Times New Roman" w:eastAsia="宋体" w:hAnsi="Times New Roman" w:cs="Times New Roman"/>
          <w:sz w:val="24"/>
        </w:rPr>
        <w:t xml:space="preserve">≤ </w:t>
      </w:r>
      <w:r w:rsidRPr="00363D1E">
        <w:rPr>
          <w:rFonts w:ascii="Times New Roman" w:eastAsia="宋体" w:hAnsi="Times New Roman" w:cs="Times New Roman"/>
          <w:sz w:val="24"/>
        </w:rPr>
        <w:t xml:space="preserve">50 mL/min, and </w:t>
      </w:r>
      <w:r w:rsidRPr="00175220">
        <w:rPr>
          <w:rFonts w:ascii="Times New Roman" w:eastAsia="宋体" w:hAnsi="Times New Roman" w:cs="Times New Roman"/>
          <w:sz w:val="24"/>
        </w:rPr>
        <w:t>(5) m</w:t>
      </w:r>
      <w:r w:rsidRPr="00697578">
        <w:rPr>
          <w:rFonts w:ascii="Times New Roman" w:eastAsia="宋体" w:hAnsi="Times New Roman" w:cs="Times New Roman"/>
          <w:sz w:val="24"/>
        </w:rPr>
        <w:t xml:space="preserve">edical insurance issues that might affect </w:t>
      </w:r>
      <w:r w:rsidRPr="00175220">
        <w:rPr>
          <w:rFonts w:ascii="Times New Roman" w:eastAsia="宋体" w:hAnsi="Times New Roman" w:cs="Times New Roman"/>
          <w:sz w:val="24"/>
        </w:rPr>
        <w:t xml:space="preserve">the initiation of </w:t>
      </w:r>
      <w:r w:rsidRPr="00363D1E">
        <w:rPr>
          <w:rFonts w:ascii="Times New Roman" w:eastAsia="宋体" w:hAnsi="Times New Roman" w:cs="Times New Roman"/>
          <w:sz w:val="24"/>
        </w:rPr>
        <w:t>rapid ART</w:t>
      </w:r>
      <w:r w:rsidRPr="00697578">
        <w:rPr>
          <w:rFonts w:ascii="Times New Roman" w:eastAsia="宋体" w:hAnsi="Times New Roman" w:cs="Times New Roman"/>
          <w:sz w:val="24"/>
        </w:rPr>
        <w:t>.</w:t>
      </w:r>
    </w:p>
    <w:p w14:paraId="44B927B8" w14:textId="257202A5" w:rsidR="003B6858" w:rsidRDefault="00A20B6E" w:rsidP="003B6858">
      <w:pPr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2 </w:t>
      </w:r>
      <w:bookmarkStart w:id="0" w:name="_Hlk182946347"/>
      <w:r w:rsidR="003B6858" w:rsidRPr="00175220">
        <w:rPr>
          <w:rFonts w:ascii="Times New Roman" w:eastAsia="宋体" w:hAnsi="Times New Roman" w:cs="Times New Roman"/>
          <w:b/>
          <w:bCs/>
          <w:sz w:val="24"/>
        </w:rPr>
        <w:t>Mass Cytometry data analysis</w:t>
      </w:r>
      <w:bookmarkEnd w:id="0"/>
    </w:p>
    <w:p w14:paraId="0E359570" w14:textId="77777777" w:rsidR="003B6858" w:rsidRDefault="003B6858" w:rsidP="003B6858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bookmarkStart w:id="1" w:name="OLE_LINK1"/>
      <w:r w:rsidRPr="00175220">
        <w:rPr>
          <w:rFonts w:ascii="Times New Roman" w:eastAsia="宋体" w:hAnsi="Times New Roman" w:cs="Times New Roman"/>
          <w:sz w:val="24"/>
        </w:rPr>
        <w:t>The raw data of each sample were de-barcoded using unique mass</w:t>
      </w:r>
      <w:r w:rsidRPr="00363D1E">
        <w:rPr>
          <w:rFonts w:ascii="Times New Roman" w:eastAsia="宋体" w:hAnsi="Times New Roman" w:cs="Times New Roman"/>
          <w:sz w:val="24"/>
        </w:rPr>
        <w:t>-</w:t>
      </w:r>
      <w:r w:rsidRPr="00175220">
        <w:rPr>
          <w:rFonts w:ascii="Times New Roman" w:eastAsia="宋体" w:hAnsi="Times New Roman" w:cs="Times New Roman"/>
          <w:sz w:val="24"/>
        </w:rPr>
        <w:t xml:space="preserve">tagged barcodes in a doublet-filtering scheme. A bead normalization method was </w:t>
      </w:r>
      <w:r w:rsidRPr="00363D1E">
        <w:rPr>
          <w:rFonts w:ascii="Times New Roman" w:eastAsia="宋体" w:hAnsi="Times New Roman" w:cs="Times New Roman"/>
          <w:sz w:val="24"/>
        </w:rPr>
        <w:t>applied</w:t>
      </w:r>
      <w:r w:rsidRPr="00175220">
        <w:rPr>
          <w:rFonts w:ascii="Times New Roman" w:eastAsia="宋体" w:hAnsi="Times New Roman" w:cs="Times New Roman"/>
          <w:sz w:val="24"/>
        </w:rPr>
        <w:t xml:space="preserve"> to </w:t>
      </w:r>
      <w:r w:rsidRPr="00363D1E">
        <w:rPr>
          <w:rFonts w:ascii="Times New Roman" w:eastAsia="宋体" w:hAnsi="Times New Roman" w:cs="Times New Roman"/>
          <w:sz w:val="24"/>
        </w:rPr>
        <w:t xml:space="preserve">standardize </w:t>
      </w:r>
      <w:r w:rsidRPr="00175220">
        <w:rPr>
          <w:rFonts w:ascii="Times New Roman" w:eastAsia="宋体" w:hAnsi="Times New Roman" w:cs="Times New Roman"/>
          <w:sz w:val="24"/>
        </w:rPr>
        <w:t xml:space="preserve">the .fcs file obtained from various batches. </w:t>
      </w:r>
      <w:r w:rsidRPr="00363D1E">
        <w:rPr>
          <w:rFonts w:ascii="Times New Roman" w:eastAsia="宋体" w:hAnsi="Times New Roman" w:cs="Times New Roman"/>
          <w:sz w:val="24"/>
        </w:rPr>
        <w:t>D</w:t>
      </w:r>
      <w:r w:rsidRPr="00175220">
        <w:rPr>
          <w:rFonts w:ascii="Times New Roman" w:eastAsia="宋体" w:hAnsi="Times New Roman" w:cs="Times New Roman"/>
          <w:sz w:val="24"/>
        </w:rPr>
        <w:t xml:space="preserve">ata </w:t>
      </w:r>
      <w:r w:rsidRPr="00363D1E">
        <w:rPr>
          <w:rFonts w:ascii="Times New Roman" w:eastAsia="宋体" w:hAnsi="Times New Roman" w:cs="Times New Roman"/>
          <w:sz w:val="24"/>
        </w:rPr>
        <w:t xml:space="preserve">processing involved </w:t>
      </w:r>
      <w:r w:rsidRPr="00175220">
        <w:rPr>
          <w:rFonts w:ascii="Times New Roman" w:eastAsia="宋体" w:hAnsi="Times New Roman" w:cs="Times New Roman"/>
          <w:sz w:val="24"/>
        </w:rPr>
        <w:t xml:space="preserve">meticulous gating using </w:t>
      </w:r>
      <w:proofErr w:type="spellStart"/>
      <w:r w:rsidRPr="00175220">
        <w:rPr>
          <w:rFonts w:ascii="Times New Roman" w:eastAsia="宋体" w:hAnsi="Times New Roman" w:cs="Times New Roman"/>
          <w:sz w:val="24"/>
        </w:rPr>
        <w:t>FlowJo</w:t>
      </w:r>
      <w:proofErr w:type="spellEnd"/>
      <w:r w:rsidRPr="00175220">
        <w:rPr>
          <w:rFonts w:ascii="Times New Roman" w:eastAsia="宋体" w:hAnsi="Times New Roman" w:cs="Times New Roman"/>
          <w:sz w:val="24"/>
        </w:rPr>
        <w:t xml:space="preserve"> 10.8.1 software to eliminate debris and dead cells. Subsequently, CD45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>CD3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175220">
        <w:rPr>
          <w:rFonts w:ascii="Times New Roman" w:eastAsia="宋体" w:hAnsi="Times New Roman" w:cs="Times New Roman"/>
          <w:sz w:val="24"/>
        </w:rPr>
        <w:t>cells were manually gated (Figure 1</w:t>
      </w:r>
      <w:r w:rsidRPr="00363D1E">
        <w:rPr>
          <w:rFonts w:ascii="Times New Roman" w:eastAsia="宋体" w:hAnsi="Times New Roman" w:cs="Times New Roman"/>
          <w:sz w:val="24"/>
        </w:rPr>
        <w:t>A</w:t>
      </w:r>
      <w:r w:rsidRPr="00175220">
        <w:rPr>
          <w:rFonts w:ascii="Times New Roman" w:eastAsia="宋体" w:hAnsi="Times New Roman" w:cs="Times New Roman"/>
          <w:sz w:val="24"/>
        </w:rPr>
        <w:t xml:space="preserve">) for further analysis </w:t>
      </w:r>
      <w:bookmarkStart w:id="2" w:name="OLE_LINK2"/>
      <w:r w:rsidRPr="00175220">
        <w:rPr>
          <w:rFonts w:ascii="Times New Roman" w:eastAsia="宋体" w:hAnsi="Times New Roman" w:cs="Times New Roman"/>
          <w:sz w:val="24"/>
        </w:rPr>
        <w:t>with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R</w:t>
      </w:r>
      <w:bookmarkEnd w:id="2"/>
      <w:r w:rsidRPr="00175220">
        <w:rPr>
          <w:rFonts w:ascii="Times New Roman" w:eastAsia="宋体" w:hAnsi="Times New Roman" w:cs="Times New Roman"/>
          <w:sz w:val="24"/>
        </w:rPr>
        <w:t>. The cells were divided into different clusters based on surface marker expression levels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using</w:t>
      </w:r>
      <w:r w:rsidRPr="00363D1E">
        <w:rPr>
          <w:rFonts w:ascii="Times New Roman" w:eastAsia="宋体" w:hAnsi="Times New Roman" w:cs="Times New Roman"/>
          <w:sz w:val="24"/>
        </w:rPr>
        <w:t xml:space="preserve"> the </w:t>
      </w:r>
      <w:proofErr w:type="spellStart"/>
      <w:r w:rsidRPr="00363D1E">
        <w:rPr>
          <w:rFonts w:ascii="Times New Roman" w:eastAsia="宋体" w:hAnsi="Times New Roman" w:cs="Times New Roman"/>
          <w:sz w:val="24"/>
        </w:rPr>
        <w:t>PhenoGraph</w:t>
      </w:r>
      <w:proofErr w:type="spellEnd"/>
      <w:r w:rsidRPr="00175220">
        <w:rPr>
          <w:rFonts w:ascii="Times New Roman" w:eastAsia="宋体" w:hAnsi="Times New Roman" w:cs="Times New Roman"/>
          <w:sz w:val="24"/>
        </w:rPr>
        <w:t xml:space="preserve"> clustering algorithm.</w:t>
      </w:r>
      <w:r w:rsidRPr="00363D1E">
        <w:rPr>
          <w:rFonts w:ascii="Times New Roman" w:eastAsia="宋体" w:hAnsi="Times New Roman" w:cs="Times New Roman"/>
          <w:sz w:val="24"/>
        </w:rPr>
        <w:t xml:space="preserve"> To visualize </w:t>
      </w:r>
      <w:r w:rsidRPr="00175220">
        <w:rPr>
          <w:rFonts w:ascii="Times New Roman" w:eastAsia="宋体" w:hAnsi="Times New Roman" w:cs="Times New Roman"/>
          <w:sz w:val="24"/>
        </w:rPr>
        <w:t>the high-dimensional data</w:t>
      </w:r>
      <w:r w:rsidRPr="00363D1E">
        <w:rPr>
          <w:rFonts w:ascii="Times New Roman" w:eastAsia="宋体" w:hAnsi="Times New Roman" w:cs="Times New Roman"/>
          <w:sz w:val="24"/>
        </w:rPr>
        <w:t xml:space="preserve">, we applied </w:t>
      </w:r>
      <w:r w:rsidRPr="00175220">
        <w:rPr>
          <w:rFonts w:ascii="Times New Roman" w:eastAsia="宋体" w:hAnsi="Times New Roman" w:cs="Times New Roman"/>
          <w:sz w:val="24"/>
        </w:rPr>
        <w:t>t-distributed stochastic neighbor embedding (t-SNE), a dimensionality reduction algorithm</w:t>
      </w:r>
      <w:r w:rsidRPr="00363D1E">
        <w:rPr>
          <w:rFonts w:ascii="Times New Roman" w:eastAsia="宋体" w:hAnsi="Times New Roman" w:cs="Times New Roman"/>
          <w:sz w:val="24"/>
        </w:rPr>
        <w:t>.</w:t>
      </w:r>
      <w:r w:rsidRPr="00175220">
        <w:rPr>
          <w:rFonts w:ascii="Times New Roman" w:eastAsia="宋体" w:hAnsi="Times New Roman" w:cs="Times New Roman"/>
          <w:sz w:val="24"/>
        </w:rPr>
        <w:t xml:space="preserve"> The distribution of each cluster</w:t>
      </w:r>
      <w:r w:rsidRPr="00363D1E">
        <w:rPr>
          <w:rFonts w:ascii="Times New Roman" w:eastAsia="宋体" w:hAnsi="Times New Roman" w:cs="Times New Roman"/>
          <w:sz w:val="24"/>
        </w:rPr>
        <w:t>,</w:t>
      </w:r>
      <w:r w:rsidRPr="00175220">
        <w:rPr>
          <w:rFonts w:ascii="Times New Roman" w:eastAsia="宋体" w:hAnsi="Times New Roman" w:cs="Times New Roman"/>
          <w:sz w:val="24"/>
        </w:rPr>
        <w:t xml:space="preserve"> marker expression</w:t>
      </w:r>
      <w:r w:rsidRPr="00363D1E">
        <w:rPr>
          <w:rFonts w:ascii="Times New Roman" w:eastAsia="宋体" w:hAnsi="Times New Roman" w:cs="Times New Roman"/>
          <w:sz w:val="24"/>
        </w:rPr>
        <w:t xml:space="preserve"> analysis</w:t>
      </w:r>
      <w:r w:rsidRPr="00175220">
        <w:rPr>
          <w:rFonts w:ascii="Times New Roman" w:eastAsia="宋体" w:hAnsi="Times New Roman" w:cs="Times New Roman"/>
          <w:sz w:val="24"/>
        </w:rPr>
        <w:t>, and</w:t>
      </w:r>
      <w:r w:rsidRPr="00363D1E">
        <w:rPr>
          <w:rFonts w:ascii="Times New Roman" w:eastAsia="宋体" w:hAnsi="Times New Roman" w:cs="Times New Roman"/>
          <w:sz w:val="24"/>
        </w:rPr>
        <w:t xml:space="preserve"> comparisons among various groups</w:t>
      </w:r>
      <w:r w:rsidRPr="00175220">
        <w:rPr>
          <w:rFonts w:ascii="Times New Roman" w:eastAsia="宋体" w:hAnsi="Times New Roman" w:cs="Times New Roman"/>
          <w:sz w:val="24"/>
        </w:rPr>
        <w:t xml:space="preserve"> or sample types were performed </w:t>
      </w:r>
      <w:r w:rsidRPr="00363D1E">
        <w:rPr>
          <w:rFonts w:ascii="Times New Roman" w:eastAsia="宋体" w:hAnsi="Times New Roman" w:cs="Times New Roman"/>
          <w:sz w:val="24"/>
        </w:rPr>
        <w:t>using</w:t>
      </w:r>
      <w:r w:rsidRPr="00175220">
        <w:rPr>
          <w:rFonts w:ascii="Times New Roman" w:eastAsia="宋体" w:hAnsi="Times New Roman" w:cs="Times New Roman"/>
          <w:sz w:val="24"/>
        </w:rPr>
        <w:t xml:space="preserve"> R software </w:t>
      </w:r>
      <w:r w:rsidRPr="00175220">
        <w:rPr>
          <w:rFonts w:ascii="Times New Roman" w:eastAsia="宋体" w:hAnsi="Times New Roman" w:cs="Times New Roman"/>
          <w:sz w:val="24"/>
        </w:rPr>
        <w:lastRenderedPageBreak/>
        <w:t>(version 3.6.0).</w:t>
      </w:r>
    </w:p>
    <w:p w14:paraId="38B2AA20" w14:textId="413969FD" w:rsidR="003B6858" w:rsidRPr="00175220" w:rsidRDefault="00A20B6E" w:rsidP="003B6858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3 </w:t>
      </w:r>
      <w:r w:rsidR="003B6858" w:rsidRPr="00175220">
        <w:rPr>
          <w:rFonts w:ascii="Times New Roman" w:eastAsia="宋体" w:hAnsi="Times New Roman" w:cs="Times New Roman"/>
          <w:b/>
          <w:bCs/>
          <w:sz w:val="24"/>
        </w:rPr>
        <w:t>Cytokine and chemokine assay</w:t>
      </w:r>
    </w:p>
    <w:p w14:paraId="39356F8F" w14:textId="77777777" w:rsidR="003B6858" w:rsidRPr="00175220" w:rsidRDefault="003B6858" w:rsidP="003B6858">
      <w:pPr>
        <w:spacing w:line="48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175220">
        <w:rPr>
          <w:rFonts w:ascii="Times New Roman" w:eastAsia="宋体" w:hAnsi="Times New Roman" w:cs="Times New Roman"/>
          <w:bCs/>
          <w:sz w:val="24"/>
        </w:rPr>
        <w:t xml:space="preserve">A comprehensive cytokine/chemokine assay was performed on plasma samples from different groups using the EMD Millipore's MILLIPLEX® MAP Human Cytokine/Chemokine/Growth Factor Panel A MAGNETIC BEAD PANEL 96-Well Plate Assay, which utilizes advanced Luminex® </w:t>
      </w:r>
      <w:proofErr w:type="spellStart"/>
      <w:r w:rsidRPr="00175220">
        <w:rPr>
          <w:rFonts w:ascii="Times New Roman" w:eastAsia="宋体" w:hAnsi="Times New Roman" w:cs="Times New Roman"/>
          <w:bCs/>
          <w:sz w:val="24"/>
        </w:rPr>
        <w:t>xMAP</w:t>
      </w:r>
      <w:proofErr w:type="spellEnd"/>
      <w:r w:rsidRPr="00175220">
        <w:rPr>
          <w:rFonts w:ascii="Times New Roman" w:eastAsia="宋体" w:hAnsi="Times New Roman" w:cs="Times New Roman"/>
          <w:bCs/>
          <w:sz w:val="24"/>
        </w:rPr>
        <w:t>® technology. Capture antibody-coupled magnetic beads selectively b</w:t>
      </w:r>
      <w:r w:rsidRPr="00363D1E">
        <w:rPr>
          <w:rFonts w:ascii="Times New Roman" w:eastAsia="宋体" w:hAnsi="Times New Roman" w:cs="Times New Roman"/>
          <w:bCs/>
          <w:sz w:val="24"/>
        </w:rPr>
        <w:t>ound</w:t>
      </w:r>
      <w:r w:rsidRPr="00175220">
        <w:rPr>
          <w:rFonts w:ascii="Times New Roman" w:eastAsia="宋体" w:hAnsi="Times New Roman" w:cs="Times New Roman"/>
          <w:bCs/>
          <w:sz w:val="24"/>
        </w:rPr>
        <w:t xml:space="preserve"> the target analytes in the plasma. </w:t>
      </w:r>
      <w:r w:rsidRPr="00363D1E">
        <w:rPr>
          <w:rFonts w:ascii="Times New Roman" w:eastAsia="宋体" w:hAnsi="Times New Roman" w:cs="Times New Roman"/>
          <w:bCs/>
          <w:sz w:val="24"/>
        </w:rPr>
        <w:t>After incubation and washing, detection reagents were added, and the plate was analyzed using Luminex® 200</w:t>
      </w:r>
      <w:r w:rsidRPr="00697578">
        <w:rPr>
          <w:rFonts w:ascii="Times New Roman" w:eastAsia="宋体" w:hAnsi="Times New Roman" w:cs="Times New Roman" w:hint="eastAsia"/>
          <w:bCs/>
          <w:sz w:val="24"/>
        </w:rPr>
        <w:t>™</w:t>
      </w:r>
      <w:r w:rsidRPr="00697578">
        <w:rPr>
          <w:rFonts w:ascii="Times New Roman" w:eastAsia="宋体" w:hAnsi="Times New Roman" w:cs="Times New Roman"/>
          <w:bCs/>
          <w:sz w:val="24"/>
        </w:rPr>
        <w:t xml:space="preserve"> HTS and FLEXMAP 3D® software.</w:t>
      </w:r>
    </w:p>
    <w:p w14:paraId="520583EF" w14:textId="77777777" w:rsidR="003B6858" w:rsidRPr="009964BE" w:rsidRDefault="003B6858" w:rsidP="003B6858">
      <w:pPr>
        <w:spacing w:line="480" w:lineRule="auto"/>
        <w:rPr>
          <w:rFonts w:ascii="Times New Roman" w:eastAsia="宋体" w:hAnsi="Times New Roman" w:cs="Times New Roman"/>
          <w:sz w:val="24"/>
        </w:rPr>
      </w:pPr>
    </w:p>
    <w:bookmarkEnd w:id="1"/>
    <w:p w14:paraId="38A35080" w14:textId="238B3255" w:rsidR="003B6858" w:rsidRPr="009964BE" w:rsidRDefault="003B6858" w:rsidP="003B6858">
      <w:pPr>
        <w:spacing w:line="480" w:lineRule="auto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 xml:space="preserve">Supplementary </w:t>
      </w:r>
      <w:r w:rsidRPr="009964BE">
        <w:rPr>
          <w:rFonts w:ascii="Times New Roman" w:eastAsia="宋体" w:hAnsi="Times New Roman" w:hint="eastAsia"/>
          <w:b/>
          <w:bCs/>
          <w:sz w:val="24"/>
        </w:rPr>
        <w:t>Results</w:t>
      </w:r>
    </w:p>
    <w:p w14:paraId="6C540ED2" w14:textId="56F150E6" w:rsidR="003B6858" w:rsidRDefault="003B6858" w:rsidP="003B6858">
      <w:pPr>
        <w:spacing w:line="48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1 </w:t>
      </w:r>
      <w:r w:rsidRPr="00363D1E">
        <w:rPr>
          <w:rFonts w:ascii="Times New Roman" w:eastAsia="宋体" w:hAnsi="Times New Roman" w:cs="Times New Roman"/>
          <w:b/>
          <w:bCs/>
          <w:sz w:val="24"/>
        </w:rPr>
        <w:t>Rapid ART normalized the proliferation and differentiation of CD4</w:t>
      </w:r>
      <w:r w:rsidRPr="00175220">
        <w:rPr>
          <w:rFonts w:ascii="Times New Roman" w:eastAsia="宋体" w:hAnsi="Times New Roman" w:cs="Times New Roman"/>
          <w:b/>
          <w:bCs/>
          <w:sz w:val="24"/>
          <w:vertAlign w:val="superscript"/>
        </w:rPr>
        <w:t>+</w:t>
      </w:r>
      <w:r w:rsidRPr="00363D1E">
        <w:rPr>
          <w:rFonts w:ascii="Times New Roman" w:eastAsia="宋体" w:hAnsi="Times New Roman" w:cs="Times New Roman"/>
          <w:b/>
          <w:bCs/>
          <w:sz w:val="24"/>
        </w:rPr>
        <w:t xml:space="preserve"> T cells</w:t>
      </w:r>
    </w:p>
    <w:p w14:paraId="6FC983B3" w14:textId="77777777" w:rsidR="003B6858" w:rsidRDefault="003B6858" w:rsidP="003B6858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175220">
        <w:rPr>
          <w:rFonts w:ascii="Times New Roman" w:eastAsia="宋体" w:hAnsi="Times New Roman" w:cs="Times New Roman"/>
          <w:sz w:val="24"/>
        </w:rPr>
        <w:t>To elucidate the impact of rapid ART on the cell phenotypes of various T cell subpopulations, we categorized CD4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 xml:space="preserve"> T cells into four distinct subpopulations: </w:t>
      </w:r>
      <w:r w:rsidRPr="00363D1E">
        <w:rPr>
          <w:rFonts w:ascii="Times New Roman" w:eastAsia="宋体" w:hAnsi="Times New Roman" w:cs="Times New Roman"/>
          <w:sz w:val="24"/>
        </w:rPr>
        <w:t>naive</w:t>
      </w:r>
      <w:r w:rsidRPr="00175220">
        <w:rPr>
          <w:rFonts w:ascii="Times New Roman" w:eastAsia="宋体" w:hAnsi="Times New Roman" w:cs="Times New Roman"/>
          <w:sz w:val="24"/>
        </w:rPr>
        <w:t xml:space="preserve"> T cells (T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N</w:t>
      </w:r>
      <w:r w:rsidRPr="00175220">
        <w:rPr>
          <w:rFonts w:ascii="Times New Roman" w:eastAsia="宋体" w:hAnsi="Times New Roman" w:cs="Times New Roman"/>
          <w:sz w:val="24"/>
        </w:rPr>
        <w:t>, CD45RA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175220">
        <w:rPr>
          <w:rFonts w:ascii="Times New Roman" w:eastAsia="宋体" w:hAnsi="Times New Roman" w:cs="Times New Roman"/>
          <w:sz w:val="24"/>
        </w:rPr>
        <w:t>CCR7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>), effector memory T cells (T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175220">
        <w:rPr>
          <w:rFonts w:ascii="Times New Roman" w:eastAsia="宋体" w:hAnsi="Times New Roman" w:cs="Times New Roman"/>
          <w:sz w:val="24"/>
        </w:rPr>
        <w:t>, CD45RA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- </w:t>
      </w:r>
      <w:r w:rsidRPr="00175220">
        <w:rPr>
          <w:rFonts w:ascii="Times New Roman" w:eastAsia="宋体" w:hAnsi="Times New Roman" w:cs="Times New Roman"/>
          <w:sz w:val="24"/>
        </w:rPr>
        <w:t>CCR7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-</w:t>
      </w:r>
      <w:r w:rsidRPr="00175220">
        <w:rPr>
          <w:rFonts w:ascii="Times New Roman" w:eastAsia="宋体" w:hAnsi="Times New Roman" w:cs="Times New Roman"/>
          <w:sz w:val="24"/>
        </w:rPr>
        <w:t xml:space="preserve">), </w:t>
      </w:r>
      <w:r w:rsidRPr="00363D1E">
        <w:rPr>
          <w:rFonts w:ascii="Times New Roman" w:eastAsia="宋体" w:hAnsi="Times New Roman" w:cs="Times New Roman"/>
          <w:sz w:val="24"/>
        </w:rPr>
        <w:t>terminally differentiated effector memory T cell re-expressing CD45RA (</w:t>
      </w:r>
      <w:r w:rsidRPr="00175220">
        <w:rPr>
          <w:rFonts w:ascii="Times New Roman" w:eastAsia="宋体" w:hAnsi="Times New Roman" w:cs="Times New Roman"/>
          <w:sz w:val="24"/>
        </w:rPr>
        <w:t>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RA,</w:t>
      </w:r>
      <w:r w:rsidRPr="00175220">
        <w:rPr>
          <w:rFonts w:ascii="Times New Roman" w:eastAsia="宋体" w:hAnsi="Times New Roman" w:cs="Times New Roman"/>
          <w:sz w:val="24"/>
        </w:rPr>
        <w:t xml:space="preserve"> CD45RA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175220">
        <w:rPr>
          <w:rFonts w:ascii="Times New Roman" w:eastAsia="宋体" w:hAnsi="Times New Roman" w:cs="Times New Roman"/>
          <w:sz w:val="24"/>
        </w:rPr>
        <w:t>CCR7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-</w:t>
      </w:r>
      <w:r w:rsidRPr="00175220">
        <w:rPr>
          <w:rFonts w:ascii="Times New Roman" w:eastAsia="宋体" w:hAnsi="Times New Roman" w:cs="Times New Roman"/>
          <w:sz w:val="24"/>
        </w:rPr>
        <w:t>), and central memory T cells (</w:t>
      </w:r>
      <w:r w:rsidRPr="00363D1E">
        <w:rPr>
          <w:rFonts w:ascii="Times New Roman" w:eastAsia="宋体" w:hAnsi="Times New Roman" w:cs="Times New Roman"/>
          <w:sz w:val="24"/>
        </w:rPr>
        <w:t>T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CM</w:t>
      </w:r>
      <w:r w:rsidRPr="00175220">
        <w:rPr>
          <w:rFonts w:ascii="Times New Roman" w:eastAsia="宋体" w:hAnsi="Times New Roman" w:cs="Times New Roman"/>
          <w:sz w:val="24"/>
        </w:rPr>
        <w:t>, CD45RA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- </w:t>
      </w:r>
      <w:r w:rsidRPr="00175220">
        <w:rPr>
          <w:rFonts w:ascii="Times New Roman" w:eastAsia="宋体" w:hAnsi="Times New Roman" w:cs="Times New Roman"/>
          <w:sz w:val="24"/>
        </w:rPr>
        <w:t>CCR7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 xml:space="preserve">). </w:t>
      </w:r>
      <w:r>
        <w:rPr>
          <w:rFonts w:ascii="Times New Roman" w:eastAsia="宋体" w:hAnsi="Times New Roman" w:cs="Times New Roman" w:hint="eastAsia"/>
          <w:sz w:val="24"/>
        </w:rPr>
        <w:t>W</w:t>
      </w:r>
      <w:r w:rsidRPr="00175220">
        <w:rPr>
          <w:rFonts w:ascii="Times New Roman" w:eastAsia="宋体" w:hAnsi="Times New Roman" w:cs="Times New Roman"/>
          <w:sz w:val="24"/>
        </w:rPr>
        <w:t>e segmented all T cells into 20 distinct clusters</w:t>
      </w:r>
      <w:r w:rsidRPr="00363D1E">
        <w:rPr>
          <w:rFonts w:ascii="Times New Roman" w:eastAsia="宋体" w:hAnsi="Times New Roman" w:cs="Times New Roman"/>
          <w:sz w:val="24"/>
        </w:rPr>
        <w:t xml:space="preserve">, and </w:t>
      </w:r>
      <w:r w:rsidRPr="00175220">
        <w:rPr>
          <w:rFonts w:ascii="Times New Roman" w:eastAsia="宋体" w:hAnsi="Times New Roman" w:cs="Times New Roman"/>
          <w:sz w:val="24"/>
        </w:rPr>
        <w:t>the distribution of each cluster</w:t>
      </w:r>
      <w:r w:rsidRPr="00363D1E">
        <w:rPr>
          <w:rFonts w:ascii="Times New Roman" w:eastAsia="宋体" w:hAnsi="Times New Roman" w:cs="Times New Roman"/>
          <w:sz w:val="24"/>
        </w:rPr>
        <w:t>,</w:t>
      </w:r>
      <w:r w:rsidRPr="00175220">
        <w:rPr>
          <w:rFonts w:ascii="Times New Roman" w:eastAsia="宋体" w:hAnsi="Times New Roman" w:cs="Times New Roman"/>
          <w:sz w:val="24"/>
        </w:rPr>
        <w:t xml:space="preserve"> along with the expression of associated markers</w:t>
      </w:r>
      <w:r w:rsidRPr="00363D1E">
        <w:rPr>
          <w:rFonts w:ascii="Times New Roman" w:eastAsia="宋体" w:hAnsi="Times New Roman" w:cs="Times New Roman"/>
          <w:sz w:val="24"/>
        </w:rPr>
        <w:t xml:space="preserve">, was compared between </w:t>
      </w:r>
      <w:r w:rsidRPr="00175220">
        <w:rPr>
          <w:rFonts w:ascii="Times New Roman" w:eastAsia="宋体" w:hAnsi="Times New Roman" w:cs="Times New Roman"/>
          <w:sz w:val="24"/>
        </w:rPr>
        <w:t>the rapid ART and non-rapid ART groups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(Fig. 2A</w:t>
      </w:r>
      <w:r w:rsidRPr="00363D1E">
        <w:rPr>
          <w:rFonts w:ascii="Times New Roman" w:eastAsia="宋体" w:hAnsi="Times New Roman" w:cs="Times New Roman"/>
          <w:sz w:val="24"/>
        </w:rPr>
        <w:t>, 2B</w:t>
      </w:r>
      <w:r w:rsidRPr="00175220">
        <w:rPr>
          <w:rFonts w:ascii="Times New Roman" w:eastAsia="宋体" w:hAnsi="Times New Roman" w:cs="Times New Roman"/>
          <w:sz w:val="24"/>
        </w:rPr>
        <w:t>). Among the CD4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175220">
        <w:rPr>
          <w:rFonts w:ascii="Times New Roman" w:eastAsia="宋体" w:hAnsi="Times New Roman" w:cs="Times New Roman"/>
          <w:sz w:val="24"/>
        </w:rPr>
        <w:t>T cell clusters, C14, C16, C18, and C21 represented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N</w:t>
      </w:r>
      <w:r w:rsidRPr="00175220">
        <w:rPr>
          <w:rFonts w:ascii="Times New Roman" w:eastAsia="宋体" w:hAnsi="Times New Roman" w:cs="Times New Roman"/>
          <w:sz w:val="24"/>
        </w:rPr>
        <w:t xml:space="preserve"> cells; C5, C7, C12, and C20 </w:t>
      </w:r>
      <w:r w:rsidRPr="00363D1E">
        <w:rPr>
          <w:rFonts w:ascii="Times New Roman" w:eastAsia="宋体" w:hAnsi="Times New Roman" w:cs="Times New Roman"/>
          <w:sz w:val="24"/>
        </w:rPr>
        <w:t xml:space="preserve">corresponded to </w:t>
      </w:r>
      <w:r w:rsidRPr="00175220">
        <w:rPr>
          <w:rFonts w:ascii="Times New Roman" w:eastAsia="宋体" w:hAnsi="Times New Roman" w:cs="Times New Roman"/>
          <w:sz w:val="24"/>
        </w:rPr>
        <w:t>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175220">
        <w:rPr>
          <w:rFonts w:ascii="Times New Roman" w:eastAsia="宋体" w:hAnsi="Times New Roman" w:cs="Times New Roman"/>
          <w:sz w:val="24"/>
        </w:rPr>
        <w:t xml:space="preserve"> cells; C3 was identified as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RA</w:t>
      </w:r>
      <w:r w:rsidRPr="00175220">
        <w:rPr>
          <w:rFonts w:ascii="Times New Roman" w:eastAsia="宋体" w:hAnsi="Times New Roman" w:cs="Times New Roman"/>
          <w:sz w:val="24"/>
        </w:rPr>
        <w:t xml:space="preserve"> cells; while </w:t>
      </w:r>
      <w:r w:rsidRPr="00363D1E">
        <w:rPr>
          <w:rFonts w:ascii="Times New Roman" w:eastAsia="宋体" w:hAnsi="Times New Roman" w:cs="Times New Roman"/>
          <w:sz w:val="24"/>
        </w:rPr>
        <w:t xml:space="preserve">C1, </w:t>
      </w:r>
      <w:r w:rsidRPr="00175220">
        <w:rPr>
          <w:rFonts w:ascii="Times New Roman" w:eastAsia="宋体" w:hAnsi="Times New Roman" w:cs="Times New Roman"/>
          <w:sz w:val="24"/>
        </w:rPr>
        <w:t xml:space="preserve">C2, C4, C6, </w:t>
      </w:r>
      <w:r w:rsidRPr="00363D1E">
        <w:rPr>
          <w:rFonts w:ascii="Times New Roman" w:eastAsia="宋体" w:hAnsi="Times New Roman" w:cs="Times New Roman"/>
          <w:sz w:val="24"/>
        </w:rPr>
        <w:t xml:space="preserve">C8, </w:t>
      </w:r>
      <w:r w:rsidRPr="00175220">
        <w:rPr>
          <w:rFonts w:ascii="Times New Roman" w:eastAsia="宋体" w:hAnsi="Times New Roman" w:cs="Times New Roman"/>
          <w:sz w:val="24"/>
        </w:rPr>
        <w:t xml:space="preserve">C9, C10, C11, C13, C15, C17, and </w:t>
      </w:r>
      <w:r w:rsidRPr="00175220">
        <w:rPr>
          <w:rFonts w:ascii="Times New Roman" w:eastAsia="宋体" w:hAnsi="Times New Roman" w:cs="Times New Roman"/>
          <w:sz w:val="24"/>
        </w:rPr>
        <w:lastRenderedPageBreak/>
        <w:t xml:space="preserve">C19 were categorized as </w:t>
      </w:r>
      <w:r w:rsidRPr="00363D1E">
        <w:rPr>
          <w:rFonts w:ascii="Times New Roman" w:eastAsia="宋体" w:hAnsi="Times New Roman" w:cs="Times New Roman"/>
          <w:sz w:val="24"/>
        </w:rPr>
        <w:t>T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CM</w:t>
      </w:r>
      <w:r w:rsidRPr="00175220">
        <w:rPr>
          <w:rFonts w:ascii="Times New Roman" w:eastAsia="宋体" w:hAnsi="Times New Roman" w:cs="Times New Roman"/>
          <w:sz w:val="24"/>
        </w:rPr>
        <w:t xml:space="preserve"> cells (Fig. 2C).</w:t>
      </w:r>
    </w:p>
    <w:p w14:paraId="20CE5C25" w14:textId="77777777" w:rsidR="003B6858" w:rsidRDefault="003B6858" w:rsidP="003B6858">
      <w:pPr>
        <w:spacing w:line="480" w:lineRule="auto"/>
        <w:rPr>
          <w:rFonts w:ascii="Times New Roman" w:eastAsia="宋体" w:hAnsi="Times New Roman" w:cs="Times New Roman"/>
          <w:sz w:val="24"/>
        </w:rPr>
      </w:pPr>
    </w:p>
    <w:p w14:paraId="27B1C37F" w14:textId="0EBC9A89" w:rsidR="003B6858" w:rsidRPr="00175220" w:rsidRDefault="00A20B6E" w:rsidP="003B6858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2 </w:t>
      </w:r>
      <w:r w:rsidR="003B6858" w:rsidRPr="00363D1E">
        <w:rPr>
          <w:rFonts w:ascii="Times New Roman" w:eastAsia="宋体" w:hAnsi="Times New Roman" w:cs="Times New Roman"/>
          <w:b/>
          <w:bCs/>
          <w:sz w:val="24"/>
        </w:rPr>
        <w:t>Rapid ART inhibits hyperactivation and exhaustion of CD8</w:t>
      </w:r>
      <w:r w:rsidR="003B6858" w:rsidRPr="00175220">
        <w:rPr>
          <w:rFonts w:ascii="Times New Roman" w:eastAsia="宋体" w:hAnsi="Times New Roman" w:cs="Times New Roman"/>
          <w:b/>
          <w:bCs/>
          <w:sz w:val="24"/>
          <w:vertAlign w:val="superscript"/>
        </w:rPr>
        <w:t>+</w:t>
      </w:r>
      <w:r w:rsidR="003B6858" w:rsidRPr="00363D1E">
        <w:rPr>
          <w:rFonts w:ascii="Times New Roman" w:eastAsia="宋体" w:hAnsi="Times New Roman" w:cs="Times New Roman"/>
          <w:b/>
          <w:bCs/>
          <w:sz w:val="24"/>
        </w:rPr>
        <w:t>T cells</w:t>
      </w:r>
    </w:p>
    <w:p w14:paraId="69A5A09F" w14:textId="77777777" w:rsidR="003B6858" w:rsidRDefault="003B6858" w:rsidP="003B6858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175220">
        <w:rPr>
          <w:rFonts w:ascii="Times New Roman" w:eastAsia="宋体" w:hAnsi="Times New Roman" w:cs="Times New Roman"/>
          <w:sz w:val="24"/>
        </w:rPr>
        <w:t>We analyzed the cell phenotypes of various CD8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 xml:space="preserve"> T cell subpopulations. Similar </w:t>
      </w:r>
      <w:r w:rsidRPr="00363D1E">
        <w:rPr>
          <w:rFonts w:ascii="Times New Roman" w:eastAsia="宋体" w:hAnsi="Times New Roman" w:cs="Times New Roman"/>
          <w:sz w:val="24"/>
        </w:rPr>
        <w:t>to</w:t>
      </w:r>
      <w:r w:rsidRPr="00175220">
        <w:rPr>
          <w:rFonts w:ascii="Times New Roman" w:eastAsia="宋体" w:hAnsi="Times New Roman" w:cs="Times New Roman"/>
          <w:sz w:val="24"/>
        </w:rPr>
        <w:t xml:space="preserve"> CD4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 xml:space="preserve"> T cells, CD8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>+</w:t>
      </w:r>
      <w:r w:rsidRPr="00175220">
        <w:rPr>
          <w:rFonts w:ascii="Times New Roman" w:eastAsia="宋体" w:hAnsi="Times New Roman" w:cs="Times New Roman"/>
          <w:sz w:val="24"/>
        </w:rPr>
        <w:t xml:space="preserve"> T cells were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classified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into four subpopulations: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N</w:t>
      </w:r>
      <w:r w:rsidRPr="00175220">
        <w:rPr>
          <w:rFonts w:ascii="Times New Roman" w:eastAsia="宋体" w:hAnsi="Times New Roman" w:cs="Times New Roman"/>
          <w:sz w:val="24"/>
        </w:rPr>
        <w:t>,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175220">
        <w:rPr>
          <w:rFonts w:ascii="Times New Roman" w:eastAsia="宋体" w:hAnsi="Times New Roman" w:cs="Times New Roman"/>
          <w:sz w:val="24"/>
        </w:rPr>
        <w:t>,</w:t>
      </w:r>
      <w:r w:rsidRPr="00363D1E">
        <w:rPr>
          <w:rFonts w:ascii="Times New Roman" w:eastAsia="宋体" w:hAnsi="Times New Roman" w:cs="Times New Roman"/>
          <w:sz w:val="24"/>
        </w:rPr>
        <w:t xml:space="preserve"> </w:t>
      </w:r>
      <w:r w:rsidRPr="00175220">
        <w:rPr>
          <w:rFonts w:ascii="Times New Roman" w:eastAsia="宋体" w:hAnsi="Times New Roman" w:cs="Times New Roman"/>
          <w:sz w:val="24"/>
        </w:rPr>
        <w:t>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RA</w:t>
      </w:r>
      <w:r w:rsidRPr="00175220">
        <w:rPr>
          <w:rFonts w:ascii="Times New Roman" w:eastAsia="宋体" w:hAnsi="Times New Roman" w:cs="Times New Roman"/>
          <w:sz w:val="24"/>
        </w:rPr>
        <w:t xml:space="preserve">, and </w:t>
      </w:r>
      <w:r w:rsidRPr="00363D1E">
        <w:rPr>
          <w:rFonts w:ascii="Times New Roman" w:eastAsia="宋体" w:hAnsi="Times New Roman" w:cs="Times New Roman"/>
          <w:sz w:val="24"/>
        </w:rPr>
        <w:t>T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CM</w:t>
      </w:r>
      <w:r w:rsidRPr="00363D1E">
        <w:rPr>
          <w:rFonts w:ascii="Times New Roman" w:eastAsia="宋体" w:hAnsi="Times New Roman" w:cs="Times New Roman"/>
          <w:sz w:val="24"/>
        </w:rPr>
        <w:t xml:space="preserve"> cells</w:t>
      </w:r>
      <w:r w:rsidRPr="00175220">
        <w:rPr>
          <w:rFonts w:ascii="Times New Roman" w:eastAsia="宋体" w:hAnsi="Times New Roman" w:cs="Times New Roman"/>
          <w:sz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</w:rPr>
        <w:t>W</w:t>
      </w:r>
      <w:r w:rsidRPr="00363D1E">
        <w:rPr>
          <w:rFonts w:ascii="Times New Roman" w:eastAsia="宋体" w:hAnsi="Times New Roman" w:cs="Times New Roman"/>
          <w:sz w:val="24"/>
        </w:rPr>
        <w:t xml:space="preserve">e categorized </w:t>
      </w:r>
      <w:r w:rsidRPr="00175220">
        <w:rPr>
          <w:rFonts w:ascii="Times New Roman" w:eastAsia="宋体" w:hAnsi="Times New Roman" w:cs="Times New Roman"/>
          <w:sz w:val="24"/>
        </w:rPr>
        <w:t xml:space="preserve">all cells </w:t>
      </w:r>
      <w:r w:rsidRPr="00363D1E">
        <w:rPr>
          <w:rFonts w:ascii="Times New Roman" w:eastAsia="宋体" w:hAnsi="Times New Roman" w:cs="Times New Roman"/>
          <w:sz w:val="24"/>
        </w:rPr>
        <w:t xml:space="preserve">into </w:t>
      </w:r>
      <w:r w:rsidRPr="00175220">
        <w:rPr>
          <w:rFonts w:ascii="Times New Roman" w:eastAsia="宋体" w:hAnsi="Times New Roman" w:cs="Times New Roman"/>
          <w:sz w:val="24"/>
        </w:rPr>
        <w:t>20 distinct clusters (Fig. 3A). The distribution of each cluster and the expression of associated markers in both the rapid ART and non-rapid ART groups are illustrated in Fig</w:t>
      </w:r>
      <w:r w:rsidRPr="00363D1E">
        <w:rPr>
          <w:rFonts w:ascii="Times New Roman" w:eastAsia="宋体" w:hAnsi="Times New Roman" w:cs="Times New Roman"/>
          <w:sz w:val="24"/>
        </w:rPr>
        <w:t>.</w:t>
      </w:r>
      <w:r w:rsidRPr="00175220">
        <w:rPr>
          <w:rFonts w:ascii="Times New Roman" w:eastAsia="宋体" w:hAnsi="Times New Roman" w:cs="Times New Roman"/>
          <w:sz w:val="24"/>
        </w:rPr>
        <w:t xml:space="preserve"> 3B. Among the 20 CD8</w:t>
      </w:r>
      <w:r w:rsidRPr="00175220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175220">
        <w:rPr>
          <w:rFonts w:ascii="Times New Roman" w:eastAsia="宋体" w:hAnsi="Times New Roman" w:cs="Times New Roman"/>
          <w:sz w:val="24"/>
        </w:rPr>
        <w:t>T cell clusters, the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N</w:t>
      </w:r>
      <w:r w:rsidRPr="00175220">
        <w:rPr>
          <w:rFonts w:ascii="Times New Roman" w:eastAsia="宋体" w:hAnsi="Times New Roman" w:cs="Times New Roman"/>
          <w:sz w:val="24"/>
        </w:rPr>
        <w:t xml:space="preserve"> cell clusters included C1, C6, C7, C14, C15, C18, and C19; the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175220">
        <w:rPr>
          <w:rFonts w:ascii="Times New Roman" w:eastAsia="宋体" w:hAnsi="Times New Roman" w:cs="Times New Roman"/>
          <w:sz w:val="24"/>
        </w:rPr>
        <w:t xml:space="preserve"> cell clusters comprised C3, C11, C13, C16, and C21; the T</w:t>
      </w:r>
      <w:r w:rsidRPr="00175220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RA</w:t>
      </w:r>
      <w:r w:rsidRPr="00175220">
        <w:rPr>
          <w:rFonts w:ascii="Times New Roman" w:eastAsia="宋体" w:hAnsi="Times New Roman" w:cs="Times New Roman"/>
          <w:sz w:val="24"/>
        </w:rPr>
        <w:t xml:space="preserve"> cell clusters were C4, C9, and C17; while the </w:t>
      </w:r>
      <w:r w:rsidRPr="00363D1E">
        <w:rPr>
          <w:rFonts w:ascii="Times New Roman" w:eastAsia="宋体" w:hAnsi="Times New Roman" w:cs="Times New Roman"/>
          <w:sz w:val="24"/>
        </w:rPr>
        <w:t>T</w:t>
      </w:r>
      <w:r w:rsidRPr="00363D1E">
        <w:rPr>
          <w:rFonts w:ascii="Times New Roman" w:eastAsia="宋体" w:hAnsi="Times New Roman" w:cs="Times New Roman"/>
          <w:sz w:val="24"/>
          <w:vertAlign w:val="subscript"/>
        </w:rPr>
        <w:t>CM</w:t>
      </w:r>
      <w:r w:rsidRPr="00175220">
        <w:rPr>
          <w:rFonts w:ascii="Times New Roman" w:eastAsia="宋体" w:hAnsi="Times New Roman" w:cs="Times New Roman"/>
          <w:sz w:val="24"/>
        </w:rPr>
        <w:t xml:space="preserve"> cell clusters included C2, C5, C8, C10, C12, and C20 (Fig. 3C)</w:t>
      </w:r>
      <w:r w:rsidRPr="00363D1E">
        <w:rPr>
          <w:rFonts w:ascii="Times New Roman" w:eastAsia="宋体" w:hAnsi="Times New Roman" w:cs="Times New Roman"/>
          <w:sz w:val="24"/>
        </w:rPr>
        <w:t>.</w:t>
      </w:r>
    </w:p>
    <w:p w14:paraId="1BE4349E" w14:textId="6AB300B1" w:rsidR="00134254" w:rsidRPr="003B6858" w:rsidRDefault="00134254" w:rsidP="007A66BC">
      <w:pPr>
        <w:spacing w:line="480" w:lineRule="auto"/>
        <w:rPr>
          <w:rFonts w:ascii="Times New Roman" w:eastAsia="宋体" w:hAnsi="Times New Roman" w:cs="Times New Roman"/>
          <w:sz w:val="24"/>
        </w:rPr>
      </w:pPr>
    </w:p>
    <w:p w14:paraId="303FFC1C" w14:textId="77777777" w:rsidR="00134254" w:rsidRDefault="00134254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24408D18" w14:textId="0FF1B083" w:rsidR="009964BE" w:rsidRPr="00134254" w:rsidRDefault="00134254" w:rsidP="009964BE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134254">
        <w:rPr>
          <w:rFonts w:ascii="Times New Roman" w:eastAsia="宋体" w:hAnsi="Times New Roman" w:cs="Times New Roman" w:hint="eastAsia"/>
          <w:sz w:val="24"/>
        </w:rPr>
        <w:lastRenderedPageBreak/>
        <w:t>Supplementary Table 1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Pr="00134254">
        <w:rPr>
          <w:rFonts w:ascii="Times New Roman" w:eastAsia="宋体" w:hAnsi="Times New Roman" w:cs="Times New Roman" w:hint="eastAsia"/>
          <w:sz w:val="24"/>
        </w:rPr>
        <w:t>Antibodies and isotopes used for mass cytometry</w:t>
      </w:r>
    </w:p>
    <w:tbl>
      <w:tblPr>
        <w:tblW w:w="10186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862"/>
        <w:gridCol w:w="2024"/>
        <w:gridCol w:w="1327"/>
        <w:gridCol w:w="1327"/>
        <w:gridCol w:w="3784"/>
        <w:gridCol w:w="862"/>
      </w:tblGrid>
      <w:tr w:rsidR="00134254" w:rsidRPr="00134254" w14:paraId="359A3535" w14:textId="77777777" w:rsidTr="00134254">
        <w:trPr>
          <w:trHeight w:val="375"/>
          <w:jc w:val="center"/>
        </w:trPr>
        <w:tc>
          <w:tcPr>
            <w:tcW w:w="8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C85DD" w14:textId="77777777" w:rsidR="00134254" w:rsidRPr="00134254" w:rsidRDefault="00134254" w:rsidP="0013425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8506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Antibodies Name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0F5C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Isotopes Name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0B66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Clone</w:t>
            </w:r>
          </w:p>
        </w:tc>
        <w:tc>
          <w:tcPr>
            <w:tcW w:w="37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20D0B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Company</w:t>
            </w:r>
          </w:p>
        </w:tc>
        <w:tc>
          <w:tcPr>
            <w:tcW w:w="8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B3C6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Size (Tests)</w:t>
            </w:r>
          </w:p>
        </w:tc>
      </w:tr>
      <w:tr w:rsidR="00134254" w:rsidRPr="00134254" w14:paraId="1B9BF768" w14:textId="77777777" w:rsidTr="00134254">
        <w:trPr>
          <w:trHeight w:val="375"/>
          <w:jc w:val="center"/>
        </w:trPr>
        <w:tc>
          <w:tcPr>
            <w:tcW w:w="8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805A5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D918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CD16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4312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209Bi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D46A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3GB</w:t>
            </w:r>
          </w:p>
        </w:tc>
        <w:tc>
          <w:tcPr>
            <w:tcW w:w="378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B880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F898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5F15EEA5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96F11D2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50B723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CD57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32A7CE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142Nd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0069596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HCD57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47A59C5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76CAC2C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5C998B12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77127E6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B149B56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KI67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0982AF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161Dy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8B49E1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B56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5421D52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0FC5D71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1DFC091C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9791546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531C8D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FOXP3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1F2B29A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162Dy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BA974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PCH101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2F49AC99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86F3975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</w:tr>
      <w:tr w:rsidR="00134254" w:rsidRPr="00134254" w14:paraId="292FE83D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8F63536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86441B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CCR7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93AE9CB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167Er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427ED6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G403H7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3ACC894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3BA327E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</w:tr>
      <w:tr w:rsidR="00134254" w:rsidRPr="00134254" w14:paraId="3CAA6ADF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DED252F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DB8385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CD127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F5556C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168Er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7EE60DD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A019D5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7F06D8F2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4BDB3E0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224B29D4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0D2C653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10F4BC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HLA-DR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2DABAE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170Er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C401C4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L243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028AE2FC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532A0AF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2005145D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89062BD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628B36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CD107A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276EF2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151Eu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7C16D42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H4A3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7289386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545561B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32F1D761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DEB035B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BECB68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CCR2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322B48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153Eu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57573D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K036C2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5E8F6A9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54BAB27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5AFE8948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2E0606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4DF4A26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CD163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52C81E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154Sm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77F58B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GHI/61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3B7A9B3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9A0DB00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0CFB1E45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1E579C7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0B7DB35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PD-1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055E7B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155Gd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AA86DB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EH12.2H7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1A86E67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4445845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6578355B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8C4F052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644368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PD-L1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1EDCB5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156Gd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A9E95B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29E.2A3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0E21712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C9BF0F8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7209DA7B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FA3C70A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5917A27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PERFORIN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ABFEB1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175Lu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FABD9D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B-D48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ED084A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07D4D43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3E399021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F0F840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149481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CD45RA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35EF60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143Nd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D10CD9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Hl100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78AD224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507FB1F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2FE74A4C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15B20D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007FD0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D82A10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145Nd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7676454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RPA-T4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2480B08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7FFEB00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4E3972FF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71A23A5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20D64936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7C34F0B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146Nd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ABC3C3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RPA-T8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225E5D4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92C294F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40E0F261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CFD7C6D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39B28A0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27289D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141Pr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F1E1555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UCHT1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02521C3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B8D256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55B6CDBA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0BF46C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150B54C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CD31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EC116C2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144Nd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0930BF6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WM59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243E9D0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11B0C62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4FB746D7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0FF2AA7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814352A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CD14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A4866B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148Nd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6989DB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RM052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7E77AC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65E0374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272A0374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5258DCE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4CBE00A9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CD25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02C31A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149Sm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A79C0D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2A3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1BE7C489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56B79BD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2EC048FC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1D35109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21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72D87C3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CD86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62241CA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150Nd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B42CD4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IT2.2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CCB0AF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4709992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083B04F1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1BCC84F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625D539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CD45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15CC057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89Y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E4BA671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HI30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473D18EA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DF19703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  <w:tr w:rsidR="00134254" w:rsidRPr="00134254" w14:paraId="6F8472FD" w14:textId="77777777" w:rsidTr="00134254">
        <w:trPr>
          <w:trHeight w:val="375"/>
          <w:jc w:val="center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B394387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14:paraId="3EE071CD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Anti-Human CD38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37AA48F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kern w:val="0"/>
                <w:sz w:val="22"/>
                <w14:ligatures w14:val="none"/>
              </w:rPr>
              <w:t>172Yb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307C8AE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HIT2</w:t>
            </w:r>
          </w:p>
        </w:tc>
        <w:tc>
          <w:tcPr>
            <w:tcW w:w="3784" w:type="dxa"/>
            <w:shd w:val="clear" w:color="auto" w:fill="auto"/>
            <w:noWrap/>
            <w:vAlign w:val="center"/>
            <w:hideMark/>
          </w:tcPr>
          <w:p w14:paraId="6CAAA708" w14:textId="77777777" w:rsidR="00134254" w:rsidRPr="00134254" w:rsidRDefault="00134254" w:rsidP="0013425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Fluidigm, South San Francisco, United States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9D6C65B" w14:textId="77777777" w:rsidR="00134254" w:rsidRPr="00134254" w:rsidRDefault="00134254" w:rsidP="0013425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134254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</w:tr>
    </w:tbl>
    <w:p w14:paraId="5150559E" w14:textId="2B2BDFAA" w:rsidR="00622B9E" w:rsidRDefault="00622B9E" w:rsidP="009964BE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4D3037BA" w14:textId="77777777" w:rsidR="00622B9E" w:rsidRDefault="00622B9E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tbl>
      <w:tblPr>
        <w:tblpPr w:leftFromText="180" w:rightFromText="180" w:horzAnchor="margin" w:tblpY="788"/>
        <w:tblW w:w="5000" w:type="pct"/>
        <w:tblLook w:val="04A0" w:firstRow="1" w:lastRow="0" w:firstColumn="1" w:lastColumn="0" w:noHBand="0" w:noVBand="1"/>
      </w:tblPr>
      <w:tblGrid>
        <w:gridCol w:w="1166"/>
        <w:gridCol w:w="1280"/>
        <w:gridCol w:w="4317"/>
        <w:gridCol w:w="1543"/>
      </w:tblGrid>
      <w:tr w:rsidR="00622B9E" w:rsidRPr="00597025" w14:paraId="0ACEB771" w14:textId="77777777" w:rsidTr="00622B9E">
        <w:trPr>
          <w:trHeight w:val="345"/>
        </w:trPr>
        <w:tc>
          <w:tcPr>
            <w:tcW w:w="702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0D798FC" w14:textId="08305283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71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4E473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Subpopulation</w:t>
            </w:r>
          </w:p>
        </w:tc>
        <w:tc>
          <w:tcPr>
            <w:tcW w:w="2599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CCEA4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Clusters</w:t>
            </w:r>
          </w:p>
        </w:tc>
        <w:tc>
          <w:tcPr>
            <w:tcW w:w="929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052A0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Markers</w:t>
            </w:r>
          </w:p>
        </w:tc>
      </w:tr>
      <w:tr w:rsidR="00622B9E" w:rsidRPr="00597025" w14:paraId="5DF955BB" w14:textId="77777777" w:rsidTr="00622B9E">
        <w:trPr>
          <w:trHeight w:val="375"/>
        </w:trPr>
        <w:tc>
          <w:tcPr>
            <w:tcW w:w="7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282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 cells</w:t>
            </w:r>
          </w:p>
        </w:tc>
        <w:tc>
          <w:tcPr>
            <w:tcW w:w="7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7182" w14:textId="0B38F2A4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N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cells</w:t>
            </w:r>
          </w:p>
        </w:tc>
        <w:tc>
          <w:tcPr>
            <w:tcW w:w="25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3842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C14, C16, C18, C21</w:t>
            </w:r>
          </w:p>
        </w:tc>
        <w:tc>
          <w:tcPr>
            <w:tcW w:w="9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0003" w14:textId="54760194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</w:p>
        </w:tc>
      </w:tr>
      <w:tr w:rsidR="00622B9E" w:rsidRPr="00597025" w14:paraId="67AB169B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D8FA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B3D4" w14:textId="540E99C5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EM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B104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C5, C7, C12, C20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E0F6" w14:textId="4E275D69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</w:p>
        </w:tc>
      </w:tr>
      <w:tr w:rsidR="00622B9E" w:rsidRPr="00597025" w14:paraId="739F45D1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1EF6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975C" w14:textId="7369109B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EMRA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9604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D904" w14:textId="04464413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</w:p>
        </w:tc>
      </w:tr>
      <w:tr w:rsidR="00622B9E" w:rsidRPr="00597025" w14:paraId="3D00A6BB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5B30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0871" w14:textId="140E29C1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CM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C63F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C1, C2, C4, C6, C8, C9, C10, C11, C13, C15, C17, C19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27A4" w14:textId="34870AD1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</w:p>
        </w:tc>
      </w:tr>
      <w:tr w:rsidR="00622B9E" w:rsidRPr="00597025" w14:paraId="0EDD8F32" w14:textId="77777777" w:rsidTr="00622B9E">
        <w:trPr>
          <w:trHeight w:val="28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19D7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3901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46C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A88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2B9E" w:rsidRPr="00597025" w14:paraId="2E66C7F9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3832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CD8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 cells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B77E" w14:textId="7318A938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N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5B1A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C1, C6, C7, C14, C15, C18, C19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D7BA" w14:textId="3BB6D57C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</w:p>
        </w:tc>
      </w:tr>
      <w:tr w:rsidR="00622B9E" w:rsidRPr="00597025" w14:paraId="6C9A53D1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6749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2E77" w14:textId="31802295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EM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67FD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C3, C11, C13, C16, C21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502B" w14:textId="65D66A80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</w:p>
        </w:tc>
      </w:tr>
      <w:tr w:rsidR="00622B9E" w:rsidRPr="00597025" w14:paraId="79290AAD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5CBA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49AD" w14:textId="63397584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EMRA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404D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C4, C9, C17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8443" w14:textId="1292CEB9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</w:p>
        </w:tc>
      </w:tr>
      <w:tr w:rsidR="00622B9E" w:rsidRPr="00597025" w14:paraId="4B5B2E1A" w14:textId="77777777" w:rsidTr="00622B9E">
        <w:trPr>
          <w:trHeight w:val="375"/>
        </w:trPr>
        <w:tc>
          <w:tcPr>
            <w:tcW w:w="70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68B974B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7E93F" w14:textId="02E1AAC0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97025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597025">
              <w:rPr>
                <w:rFonts w:ascii="Times New Roman" w:eastAsia="宋体" w:hAnsi="Times New Roman" w:cs="Times New Roman"/>
                <w:sz w:val="24"/>
                <w:vertAlign w:val="subscript"/>
              </w:rPr>
              <w:t>CM</w:t>
            </w:r>
            <w:r w:rsidRPr="005970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cells</w:t>
            </w:r>
          </w:p>
        </w:tc>
        <w:tc>
          <w:tcPr>
            <w:tcW w:w="259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BD6EE" w14:textId="77777777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C2, C5, C8, C10, C12, C20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0F0C" w14:textId="240F700A" w:rsidR="00622B9E" w:rsidRPr="00622B9E" w:rsidRDefault="00622B9E" w:rsidP="00622B9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CD45RA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-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CCR7</w:t>
            </w:r>
            <w:r w:rsidRPr="00622B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+</w:t>
            </w:r>
          </w:p>
        </w:tc>
      </w:tr>
    </w:tbl>
    <w:p w14:paraId="1037FC43" w14:textId="60E2EC32" w:rsidR="00622B9E" w:rsidRPr="00622B9E" w:rsidRDefault="00622B9E" w:rsidP="00622B9E">
      <w:pPr>
        <w:spacing w:line="480" w:lineRule="auto"/>
        <w:rPr>
          <w:rFonts w:ascii="Times New Roman" w:eastAsia="宋体" w:hAnsi="Times New Roman" w:cs="Times New Roman"/>
          <w:b/>
          <w:bCs/>
          <w:sz w:val="24"/>
        </w:rPr>
      </w:pPr>
      <w:r w:rsidRPr="00622B9E">
        <w:rPr>
          <w:rFonts w:ascii="Times New Roman" w:eastAsia="宋体" w:hAnsi="Times New Roman" w:cs="Times New Roman"/>
          <w:b/>
          <w:bCs/>
          <w:sz w:val="24"/>
        </w:rPr>
        <w:t xml:space="preserve">Supplementary Table 2 </w:t>
      </w:r>
      <w:r w:rsidRPr="00622B9E">
        <w:rPr>
          <w:rFonts w:ascii="Times New Roman" w:eastAsia="宋体" w:hAnsi="Times New Roman" w:cs="Times New Roman" w:hint="eastAsia"/>
          <w:sz w:val="24"/>
        </w:rPr>
        <w:t xml:space="preserve">Definition </w:t>
      </w:r>
      <w:r w:rsidR="00597025">
        <w:rPr>
          <w:rFonts w:ascii="Times New Roman" w:eastAsia="宋体" w:hAnsi="Times New Roman" w:cs="Times New Roman" w:hint="eastAsia"/>
          <w:sz w:val="24"/>
        </w:rPr>
        <w:t xml:space="preserve">of </w:t>
      </w:r>
      <w:r w:rsidRPr="00622B9E">
        <w:rPr>
          <w:rFonts w:ascii="Times New Roman" w:eastAsia="宋体" w:hAnsi="Times New Roman" w:cs="Times New Roman"/>
          <w:sz w:val="24"/>
        </w:rPr>
        <w:t>T cell</w:t>
      </w:r>
      <w:r w:rsidRPr="00622B9E">
        <w:rPr>
          <w:rFonts w:ascii="Times New Roman" w:eastAsia="宋体" w:hAnsi="Times New Roman" w:cs="Times New Roman"/>
          <w:sz w:val="24"/>
        </w:rPr>
        <w:t xml:space="preserve"> </w:t>
      </w:r>
      <w:r w:rsidRPr="00622B9E">
        <w:rPr>
          <w:rFonts w:ascii="Times New Roman" w:eastAsia="宋体" w:hAnsi="Times New Roman" w:cs="Times New Roman"/>
          <w:sz w:val="24"/>
        </w:rPr>
        <w:t>clusters</w:t>
      </w:r>
    </w:p>
    <w:p w14:paraId="69523384" w14:textId="0AEA5ACC" w:rsidR="00622B9E" w:rsidRPr="00622B9E" w:rsidRDefault="00622B9E" w:rsidP="00622B9E">
      <w:pPr>
        <w:spacing w:line="480" w:lineRule="auto"/>
        <w:rPr>
          <w:rFonts w:ascii="Times New Roman" w:eastAsia="宋体" w:hAnsi="Times New Roman" w:cs="Times New Roman"/>
          <w:sz w:val="24"/>
        </w:rPr>
      </w:pPr>
      <w:r w:rsidRPr="00622B9E">
        <w:rPr>
          <w:rFonts w:ascii="Times New Roman" w:eastAsia="宋体" w:hAnsi="Times New Roman" w:cs="Times New Roman"/>
          <w:b/>
          <w:bCs/>
          <w:sz w:val="24"/>
        </w:rPr>
        <w:t xml:space="preserve">Note: </w:t>
      </w:r>
      <w:r w:rsidRPr="00622B9E">
        <w:rPr>
          <w:rFonts w:ascii="Times New Roman" w:eastAsia="宋体" w:hAnsi="Times New Roman" w:cs="Times New Roman"/>
          <w:sz w:val="24"/>
        </w:rPr>
        <w:t>T</w:t>
      </w:r>
      <w:r w:rsidRPr="00622B9E">
        <w:rPr>
          <w:rFonts w:ascii="Times New Roman" w:eastAsia="宋体" w:hAnsi="Times New Roman" w:cs="Times New Roman"/>
          <w:sz w:val="24"/>
          <w:vertAlign w:val="subscript"/>
        </w:rPr>
        <w:t>N</w:t>
      </w:r>
      <w:r w:rsidRPr="00622B9E">
        <w:rPr>
          <w:rFonts w:ascii="Times New Roman" w:eastAsia="宋体" w:hAnsi="Times New Roman" w:cs="Times New Roman"/>
          <w:sz w:val="24"/>
        </w:rPr>
        <w:t xml:space="preserve">: </w:t>
      </w:r>
      <w:r w:rsidRPr="00622B9E">
        <w:rPr>
          <w:rFonts w:ascii="Times New Roman" w:eastAsia="宋体" w:hAnsi="Times New Roman" w:cs="Times New Roman"/>
          <w:sz w:val="24"/>
        </w:rPr>
        <w:t>Naïve T cells</w:t>
      </w:r>
      <w:r w:rsidRPr="00622B9E">
        <w:rPr>
          <w:rFonts w:ascii="Times New Roman" w:eastAsia="宋体" w:hAnsi="Times New Roman" w:cs="Times New Roman"/>
          <w:sz w:val="24"/>
        </w:rPr>
        <w:t>; T</w:t>
      </w:r>
      <w:r w:rsidRPr="00622B9E">
        <w:rPr>
          <w:rFonts w:ascii="Times New Roman" w:eastAsia="宋体" w:hAnsi="Times New Roman" w:cs="Times New Roman"/>
          <w:sz w:val="24"/>
          <w:vertAlign w:val="subscript"/>
        </w:rPr>
        <w:t>EM</w:t>
      </w:r>
      <w:r w:rsidRPr="00622B9E">
        <w:rPr>
          <w:rFonts w:ascii="Times New Roman" w:eastAsia="宋体" w:hAnsi="Times New Roman" w:cs="Times New Roman"/>
          <w:sz w:val="24"/>
        </w:rPr>
        <w:t xml:space="preserve">: </w:t>
      </w:r>
      <w:r w:rsidRPr="00622B9E">
        <w:rPr>
          <w:rFonts w:ascii="Times New Roman" w:eastAsia="宋体" w:hAnsi="Times New Roman" w:cs="Times New Roman"/>
          <w:sz w:val="24"/>
        </w:rPr>
        <w:t>Effector memory T cells</w:t>
      </w:r>
      <w:r w:rsidRPr="00622B9E">
        <w:rPr>
          <w:rFonts w:ascii="Times New Roman" w:eastAsia="宋体" w:hAnsi="Times New Roman" w:cs="Times New Roman"/>
          <w:sz w:val="24"/>
        </w:rPr>
        <w:t>; T</w:t>
      </w:r>
      <w:r w:rsidRPr="00622B9E">
        <w:rPr>
          <w:rFonts w:ascii="Times New Roman" w:eastAsia="宋体" w:hAnsi="Times New Roman" w:cs="Times New Roman"/>
          <w:sz w:val="24"/>
          <w:vertAlign w:val="subscript"/>
        </w:rPr>
        <w:t>EMRA</w:t>
      </w:r>
      <w:r w:rsidRPr="00622B9E">
        <w:rPr>
          <w:rFonts w:ascii="Times New Roman" w:eastAsia="宋体" w:hAnsi="Times New Roman" w:cs="Times New Roman"/>
          <w:sz w:val="24"/>
        </w:rPr>
        <w:t xml:space="preserve">: </w:t>
      </w:r>
      <w:r w:rsidRPr="00622B9E">
        <w:rPr>
          <w:rFonts w:ascii="Times New Roman" w:eastAsia="宋体" w:hAnsi="Times New Roman" w:cs="Times New Roman"/>
          <w:sz w:val="24"/>
        </w:rPr>
        <w:t>CD45RA</w:t>
      </w:r>
      <w:r w:rsidRPr="00622B9E">
        <w:rPr>
          <w:rFonts w:ascii="Times New Roman" w:eastAsia="宋体" w:hAnsi="Times New Roman" w:cs="Times New Roman"/>
          <w:sz w:val="24"/>
          <w:vertAlign w:val="superscript"/>
        </w:rPr>
        <w:t xml:space="preserve">+ </w:t>
      </w:r>
      <w:r w:rsidRPr="00622B9E">
        <w:rPr>
          <w:rFonts w:ascii="Times New Roman" w:eastAsia="宋体" w:hAnsi="Times New Roman" w:cs="Times New Roman"/>
          <w:sz w:val="24"/>
        </w:rPr>
        <w:t>effector memory T cells</w:t>
      </w:r>
      <w:r w:rsidRPr="00622B9E">
        <w:rPr>
          <w:rFonts w:ascii="Times New Roman" w:eastAsia="宋体" w:hAnsi="Times New Roman" w:cs="Times New Roman"/>
          <w:sz w:val="24"/>
        </w:rPr>
        <w:t>; T</w:t>
      </w:r>
      <w:r w:rsidRPr="00622B9E">
        <w:rPr>
          <w:rFonts w:ascii="Times New Roman" w:eastAsia="宋体" w:hAnsi="Times New Roman" w:cs="Times New Roman"/>
          <w:sz w:val="24"/>
          <w:vertAlign w:val="subscript"/>
        </w:rPr>
        <w:t>CM</w:t>
      </w:r>
      <w:r w:rsidRPr="00622B9E">
        <w:rPr>
          <w:rFonts w:ascii="Times New Roman" w:eastAsia="宋体" w:hAnsi="Times New Roman" w:cs="Times New Roman"/>
          <w:sz w:val="24"/>
        </w:rPr>
        <w:t xml:space="preserve">: </w:t>
      </w:r>
      <w:r w:rsidRPr="00622B9E">
        <w:rPr>
          <w:rFonts w:ascii="Times New Roman" w:eastAsia="宋体" w:hAnsi="Times New Roman" w:cs="Times New Roman"/>
          <w:sz w:val="24"/>
        </w:rPr>
        <w:t>Central memory T cells</w:t>
      </w:r>
      <w:r w:rsidRPr="00622B9E">
        <w:rPr>
          <w:rFonts w:ascii="Times New Roman" w:eastAsia="宋体" w:hAnsi="Times New Roman" w:cs="Times New Roman"/>
          <w:sz w:val="24"/>
        </w:rPr>
        <w:t>.</w:t>
      </w:r>
    </w:p>
    <w:sectPr w:rsidR="00622B9E" w:rsidRPr="00622B9E" w:rsidSect="00B7152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6828" w14:textId="77777777" w:rsidR="006E6A32" w:rsidRDefault="006E6A32" w:rsidP="00B71520">
      <w:pPr>
        <w:rPr>
          <w:rFonts w:hint="eastAsia"/>
        </w:rPr>
      </w:pPr>
      <w:r>
        <w:separator/>
      </w:r>
    </w:p>
  </w:endnote>
  <w:endnote w:type="continuationSeparator" w:id="0">
    <w:p w14:paraId="7981E7B7" w14:textId="77777777" w:rsidR="006E6A32" w:rsidRDefault="006E6A32" w:rsidP="00B715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CF3C" w14:textId="77777777" w:rsidR="006E6A32" w:rsidRDefault="006E6A32" w:rsidP="00B71520">
      <w:pPr>
        <w:rPr>
          <w:rFonts w:hint="eastAsia"/>
        </w:rPr>
      </w:pPr>
      <w:r>
        <w:separator/>
      </w:r>
    </w:p>
  </w:footnote>
  <w:footnote w:type="continuationSeparator" w:id="0">
    <w:p w14:paraId="25AE4CB7" w14:textId="77777777" w:rsidR="006E6A32" w:rsidRDefault="006E6A32" w:rsidP="00B715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4C"/>
    <w:rsid w:val="000D141D"/>
    <w:rsid w:val="00134254"/>
    <w:rsid w:val="003B6858"/>
    <w:rsid w:val="003F1172"/>
    <w:rsid w:val="004059F0"/>
    <w:rsid w:val="004A0C52"/>
    <w:rsid w:val="004A4583"/>
    <w:rsid w:val="00597025"/>
    <w:rsid w:val="00622B9E"/>
    <w:rsid w:val="006E6A32"/>
    <w:rsid w:val="007A66BC"/>
    <w:rsid w:val="0097714C"/>
    <w:rsid w:val="009964BE"/>
    <w:rsid w:val="00A20B6E"/>
    <w:rsid w:val="00B71520"/>
    <w:rsid w:val="00C52050"/>
    <w:rsid w:val="00C62C39"/>
    <w:rsid w:val="00DF1C5A"/>
    <w:rsid w:val="00E520F0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820B1"/>
  <w15:chartTrackingRefBased/>
  <w15:docId w15:val="{1CCEF14A-C76C-4175-9F72-0BE40CFC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5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5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520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7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1011</Words>
  <Characters>5452</Characters>
  <Application>Microsoft Office Word</Application>
  <DocSecurity>0</DocSecurity>
  <Lines>389</Lines>
  <Paragraphs>403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嘉豪 季</dc:creator>
  <cp:keywords/>
  <dc:description/>
  <cp:lastModifiedBy>嘉豪 季</cp:lastModifiedBy>
  <cp:revision>7</cp:revision>
  <dcterms:created xsi:type="dcterms:W3CDTF">2024-09-08T03:14:00Z</dcterms:created>
  <dcterms:modified xsi:type="dcterms:W3CDTF">2025-05-23T07:30:00Z</dcterms:modified>
</cp:coreProperties>
</file>