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F1547">
      <w:pPr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403FFCEA">
      <w:pPr>
        <w:jc w:val="center"/>
        <w:rPr>
          <w:rFonts w:hint="default" w:ascii="Times New Roman" w:hAnsi="Times New Roman" w:cs="Times New Roman"/>
          <w:b/>
          <w:color w:val="000000"/>
          <w:sz w:val="28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4"/>
        </w:rPr>
        <w:t>Supplementary Online Content</w:t>
      </w:r>
    </w:p>
    <w:p w14:paraId="71D678B8">
      <w:pPr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4BE21145">
      <w:pPr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Additional file 1.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Checklist of Recommendations for Reporting of Observational Studies Using the Reporting of StudiesConducted Using Observational Routinely Collected Health Data (RECORD) Guidelines </w:t>
      </w:r>
    </w:p>
    <w:p w14:paraId="419658C7"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Additional file 2. </w:t>
      </w:r>
      <w:r>
        <w:rPr>
          <w:rFonts w:hint="eastAsia" w:cs="Times New Roman"/>
          <w:sz w:val="24"/>
          <w:szCs w:val="24"/>
          <w:lang w:val="en-US" w:eastAsia="zh-CN"/>
        </w:rPr>
        <w:t>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he exact ingredients</w:t>
      </w:r>
      <w:r>
        <w:rPr>
          <w:rFonts w:hint="eastAsia" w:cs="Times New Roman"/>
          <w:sz w:val="24"/>
          <w:szCs w:val="24"/>
          <w:lang w:val="en-US" w:eastAsia="zh-CN"/>
        </w:rPr>
        <w:t xml:space="preserve"> of t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he Xietu Hemu prescription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3ABD6998"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Additional file </w:t>
      </w:r>
      <w:r>
        <w:rPr>
          <w:rFonts w:hint="eastAsia" w:cs="Times New Roman"/>
          <w:b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hint="eastAsia" w:cs="Times New Roman"/>
          <w:sz w:val="24"/>
          <w:szCs w:val="24"/>
          <w:lang w:val="en-US" w:eastAsia="zh-CN"/>
        </w:rPr>
        <w:t>Sample size calculation.</w:t>
      </w:r>
    </w:p>
    <w:p w14:paraId="5971FA32">
      <w:pPr>
        <w:jc w:val="left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Additional file </w:t>
      </w:r>
      <w:r>
        <w:rPr>
          <w:rFonts w:hint="eastAsia" w:cs="Times New Roman"/>
          <w:b/>
          <w:color w:val="00000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Baseline demographic and clinical characteristics of Different medication time cohorts vs. referent cohort.</w:t>
      </w:r>
    </w:p>
    <w:p w14:paraId="52B11E5A">
      <w:pPr>
        <w:jc w:val="left"/>
        <w:rPr>
          <w:rFonts w:hint="eastAsia" w:ascii="Times New Roman" w:hAnsi="Times New Roman" w:cs="Times New Roman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color w:val="000000"/>
          <w:sz w:val="24"/>
          <w:szCs w:val="24"/>
          <w:lang w:val="en-US" w:eastAsia="zh-CN"/>
        </w:rPr>
        <w:t xml:space="preserve">Additional file </w:t>
      </w:r>
      <w:r>
        <w:rPr>
          <w:rFonts w:hint="eastAsia" w:cs="Times New Roman"/>
          <w:b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bCs w:val="0"/>
          <w:color w:val="000000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/>
          <w:color w:val="000000"/>
          <w:sz w:val="24"/>
          <w:szCs w:val="24"/>
          <w:lang w:val="en-US" w:eastAsia="zh-CN"/>
        </w:rPr>
        <w:t xml:space="preserve"> Comparisons of body composition and serum biomarkers in the patient exposure cohort (different</w:t>
      </w:r>
      <w:r>
        <w:rPr>
          <w:rFonts w:hint="eastAsia" w:cs="Times New Roman"/>
          <w:b w:val="0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color w:val="000000"/>
          <w:sz w:val="24"/>
          <w:szCs w:val="24"/>
          <w:lang w:val="en-US" w:eastAsia="zh-CN"/>
        </w:rPr>
        <w:t xml:space="preserve">XHP treatment duration cohorts) with those in the referent cohort before and after treatment are shown. </w:t>
      </w:r>
    </w:p>
    <w:p w14:paraId="0F88CAC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Additional file </w:t>
      </w:r>
      <w:r>
        <w:rPr>
          <w:rFonts w:hint="eastAsia" w:cs="Times New Roman"/>
          <w:b/>
          <w:color w:val="00000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Employ the DAG model to screen the independent variables.</w:t>
      </w:r>
    </w:p>
    <w:p w14:paraId="58F45AF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Additional file</w:t>
      </w:r>
      <w:r>
        <w:rPr>
          <w:rFonts w:hint="eastAsia" w:cs="Times New Roman"/>
          <w:b/>
          <w:color w:val="000000"/>
          <w:sz w:val="24"/>
          <w:szCs w:val="24"/>
          <w:lang w:val="en-US" w:eastAsia="zh-CN"/>
        </w:rPr>
        <w:t xml:space="preserve"> 7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Change-in-Effects method CIE (Change-in-Estimate)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 xml:space="preserve"> analysis results.</w:t>
      </w:r>
    </w:p>
    <w:p w14:paraId="35F630C4"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40B98EAB">
      <w:pPr>
        <w:rPr>
          <w:rFonts w:hint="default" w:ascii="Times New Roman" w:hAnsi="Times New Roman" w:cs="Times New Roman"/>
          <w:color w:val="000000"/>
          <w:sz w:val="20"/>
          <w:szCs w:val="24"/>
        </w:rPr>
      </w:pPr>
      <w:r>
        <w:rPr>
          <w:rFonts w:hint="default" w:ascii="Times New Roman" w:hAnsi="Times New Roman" w:cs="Times New Roman"/>
          <w:color w:val="000000"/>
          <w:sz w:val="20"/>
          <w:szCs w:val="24"/>
        </w:rPr>
        <w:br w:type="page"/>
      </w:r>
    </w:p>
    <w:p w14:paraId="29A30A31">
      <w:pPr>
        <w:jc w:val="left"/>
        <w:rPr>
          <w:rFonts w:hint="default" w:ascii="Times New Roman" w:hAnsi="Times New Roman" w:eastAsia="Times New Roman" w:cs="Times New Roman"/>
          <w:color w:val="000000"/>
          <w:sz w:val="20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0"/>
          <w:szCs w:val="24"/>
        </w:rPr>
        <w:t>Additional file 1</w:t>
      </w:r>
      <w:r>
        <w:rPr>
          <w:rFonts w:hint="default" w:ascii="Times New Roman" w:hAnsi="Times New Roman" w:eastAsia="Times New Roman" w:cs="Times New Roman"/>
          <w:b/>
          <w:color w:val="000000"/>
          <w:sz w:val="20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color w:val="000000"/>
          <w:sz w:val="20"/>
          <w:szCs w:val="24"/>
        </w:rPr>
        <w:t>Checklist of Recommendations for Reporting of Observational Studies Using the Reporting of Studies</w:t>
      </w:r>
    </w:p>
    <w:p w14:paraId="6ECACBFF">
      <w:pPr>
        <w:jc w:val="left"/>
        <w:rPr>
          <w:rFonts w:hint="default" w:ascii="Times New Roman" w:hAnsi="Times New Roman" w:eastAsia="Times New Roman" w:cs="Times New Roman"/>
          <w:color w:val="000000"/>
          <w:sz w:val="20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0"/>
          <w:szCs w:val="24"/>
        </w:rPr>
        <w:t xml:space="preserve">Conducted Using Observational Routinely Collected Health Data (RECORD) Guidelines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971"/>
        <w:gridCol w:w="3290"/>
        <w:gridCol w:w="2131"/>
      </w:tblGrid>
      <w:tr w14:paraId="758E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</w:tcPr>
          <w:p w14:paraId="7500D970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</w:tcPr>
          <w:p w14:paraId="3CA29BCB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Item No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</w:tcPr>
          <w:p w14:paraId="453F8932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Recommendation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</w:tcPr>
          <w:p w14:paraId="317F23D3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Reported</w:t>
            </w:r>
          </w:p>
        </w:tc>
      </w:tr>
      <w:tr w14:paraId="66B2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D2B3B5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Title and abstract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451712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1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92F218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(a) Indicate the study's design with a commonly used term in the title or the abstract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B53D04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Abstract</w:t>
            </w:r>
          </w:p>
          <w:p w14:paraId="3D5E536B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</w:tr>
      <w:tr w14:paraId="1432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63557D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D389A8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54C593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(b) Provide in the abstract an informative and balanced summary of what was done and what was found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58EC1B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Abstract</w:t>
            </w:r>
          </w:p>
          <w:p w14:paraId="312C868C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</w:tr>
      <w:tr w14:paraId="142E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</w:tcPr>
          <w:p w14:paraId="70DE1DEC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Introduction</w:t>
            </w:r>
          </w:p>
        </w:tc>
      </w:tr>
      <w:tr w14:paraId="65E9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988263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Background/rationale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CEF3EC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2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70640D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Explain the scientific background and rationale for the investigation being reported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BA1330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Introduction</w:t>
            </w:r>
          </w:p>
          <w:p w14:paraId="1FBB0CDC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</w:tr>
      <w:tr w14:paraId="080C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E4A4B1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Objectives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8EF915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3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F69237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State</w:t>
            </w:r>
            <w:r>
              <w:rPr>
                <w:rFonts w:hint="eastAsia" w:eastAsia="等线" w:cs="Times New Roman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specific objectives, including any prespecified hypotheses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A66AD6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Introduction</w:t>
            </w:r>
          </w:p>
          <w:p w14:paraId="7A541DEC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</w:tr>
      <w:tr w14:paraId="00D9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</w:tcPr>
          <w:p w14:paraId="6E3BA297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Methods</w:t>
            </w:r>
          </w:p>
        </w:tc>
      </w:tr>
      <w:tr w14:paraId="3944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C07DE3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Study design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AA4570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4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367BBE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Present key elements of study design early in the paper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360400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Methods-Study Design and Data Sources</w:t>
            </w:r>
          </w:p>
        </w:tc>
      </w:tr>
      <w:tr w14:paraId="440A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548658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Setting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B2A5C1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5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D910B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0201C1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Methods-Study Design and Data Sources</w:t>
            </w:r>
          </w:p>
        </w:tc>
      </w:tr>
      <w:tr w14:paraId="1CDB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25FEC2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Participants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AB4379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6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48617C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(a) Give the eligibility criteria and the sources and methods of selection of participants. Describe methods of follow-up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AC697B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Methods-Study Design and Data Sources；Methods-Patients；Figure 1</w:t>
            </w:r>
          </w:p>
          <w:p w14:paraId="40D0946F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</w:p>
        </w:tc>
      </w:tr>
      <w:tr w14:paraId="406C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D7A154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54DF91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11A587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(b) For matched studies, give matching criteria and the number of exposed and unexposed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5882D2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Methods-Groups and Endpoint event</w:t>
            </w:r>
          </w:p>
          <w:p w14:paraId="0F07FC72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</w:tr>
      <w:tr w14:paraId="3A96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6EE719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Variables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46F77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7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5509B6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16F99A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Methods-Study Design and Data Sources；G Methods-roups and Endpoint event</w:t>
            </w:r>
          </w:p>
          <w:p w14:paraId="6B627104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</w:tr>
      <w:tr w14:paraId="386C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B24AB6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Data sources/measurement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E8ECE8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8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D52A05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C0342D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Methods-Groups and Endpoint event</w:t>
            </w:r>
          </w:p>
          <w:p w14:paraId="68B9BBF5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</w:tr>
      <w:tr w14:paraId="0770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EC1408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Bias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C9401D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9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AD5DC4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Describe any efforts to address potential sources of bias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2DFA14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Methods-Statistical analysis</w:t>
            </w:r>
          </w:p>
          <w:p w14:paraId="21F3221D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</w:tr>
      <w:tr w14:paraId="52C0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142F97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Study size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725E7C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10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9FC8D1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Explain how the study size was arrived at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E7AC0F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4"/>
              </w:rPr>
              <w:t>Additional file 2</w:t>
            </w:r>
          </w:p>
        </w:tc>
      </w:tr>
      <w:tr w14:paraId="7B00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A64BB7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Quantitative variables 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B37E6D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11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05F85C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Explain how quantitative variables were handled in the analyses. If applicable, describe which groupings were chosen and why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A3276B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Methods-Groups and Endpoint event</w:t>
            </w:r>
          </w:p>
          <w:p w14:paraId="2B15B651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</w:tr>
      <w:tr w14:paraId="7EDA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ABEB2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Statistical methods 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728E9A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12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D57EEA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(a) Describe all statistical methods, including those used to control for confounding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D2CD91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Methods-Statistical analysis</w:t>
            </w:r>
          </w:p>
          <w:p w14:paraId="4472B019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</w:tr>
      <w:tr w14:paraId="0BF0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987959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7415E3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78750A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(b) Describe any methods used to examine subgroups and interactions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2ED6B9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Methods-Statistical analysis</w:t>
            </w:r>
          </w:p>
        </w:tc>
      </w:tr>
      <w:tr w14:paraId="20B8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6FBC59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995DD3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B14A08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(c) Explain how missing data were addressed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7201B4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Not applicable</w:t>
            </w:r>
          </w:p>
        </w:tc>
      </w:tr>
      <w:tr w14:paraId="59AB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A3AA2D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C460A1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BBE9FD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(d) If applicable, explain how loss to follow-up was addressed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0C5F29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Not applicable</w:t>
            </w:r>
          </w:p>
        </w:tc>
      </w:tr>
      <w:tr w14:paraId="3785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F3999F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592D66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2F6437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(e) Describe any sensitivity analyses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247ABA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Methods-Statistical analysis</w:t>
            </w:r>
          </w:p>
        </w:tc>
      </w:tr>
      <w:tr w14:paraId="1E87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</w:tcPr>
          <w:p w14:paraId="0B718F01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Results </w:t>
            </w:r>
          </w:p>
        </w:tc>
      </w:tr>
      <w:tr w14:paraId="2324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B93D92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Participants 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7C00CD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13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378E7E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(a) Report numbers of individuals at each stage of study--e.g. numbers potentially eligible, examined for eligibility, confirmed eligible, included in the study, completing follow-up, and analyzed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5A77A0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Results-Patient characteristics；</w:t>
            </w:r>
          </w:p>
          <w:p w14:paraId="1B623F55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Figure 1</w:t>
            </w:r>
          </w:p>
        </w:tc>
      </w:tr>
      <w:tr w14:paraId="6D86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4D9CD2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860A31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41D4D6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(b) Give reasons for non-participation at each stage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8F0A2E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Figure 1</w:t>
            </w:r>
          </w:p>
        </w:tc>
      </w:tr>
      <w:tr w14:paraId="7D06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C540CA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535D6D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33E27B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(c) Consider use of a flow diagram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847841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Figure 1</w:t>
            </w:r>
          </w:p>
        </w:tc>
      </w:tr>
      <w:tr w14:paraId="4C99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43AA3F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Descriptive data 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E71CE9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14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4CF163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D5152B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</w:tr>
      <w:tr w14:paraId="7232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569075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F0A05D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44CAAF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(a) Give characteristics of study participants (e.g. demographic, clinical, social) and information on exposures and potential confounders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00A3EC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Results-Patient characteristics；</w:t>
            </w:r>
          </w:p>
          <w:p w14:paraId="56BAB0BA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Table 1</w:t>
            </w:r>
          </w:p>
          <w:p w14:paraId="75204635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</w:tr>
      <w:tr w14:paraId="1F6C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3F8459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C4F21E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89540C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(b) Indicate number of participants with missing data for each variable of interest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6A2075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Figure 1</w:t>
            </w:r>
          </w:p>
        </w:tc>
      </w:tr>
      <w:tr w14:paraId="6170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A29022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802C3D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2DE95E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(c) Summarize follow-up time (e.g. average and total amount)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5E8062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Not applicable</w:t>
            </w:r>
          </w:p>
        </w:tc>
      </w:tr>
      <w:tr w14:paraId="3343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359097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Outcome data 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F8A4C8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15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D661C6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Report numbers of outcome events or summary measures over time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71CFF6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Results-Clinical outcomes；Figure 2；Table 2；Figure 3</w:t>
            </w:r>
          </w:p>
        </w:tc>
      </w:tr>
      <w:tr w14:paraId="31CC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55B74E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Main results 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661523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16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45A579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(a) Give unadjusted estimates and, if applicable, confounder-adjusted estimates and their precision (e.g. 95% confidence interval). Make clear which confounders were adjusted for and why they were included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E9F0EB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Results-Clinical outcomes</w:t>
            </w:r>
          </w:p>
        </w:tc>
      </w:tr>
      <w:tr w14:paraId="45F4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A6D509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4776BC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A2FA8B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(b) Report category boundaries when continuous variables were categorized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7274B8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Figure 3</w:t>
            </w:r>
          </w:p>
        </w:tc>
      </w:tr>
      <w:tr w14:paraId="2265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02B158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5A5DDA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CF48B6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(c) If relevant, consider translating estimates of relative risk into absolute risk for a meaningful time period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256A1F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Not applicable</w:t>
            </w:r>
          </w:p>
        </w:tc>
      </w:tr>
      <w:tr w14:paraId="5130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718B62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Other analyses 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FCE7D8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17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5740FB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Report other analyses done--e.g. analyses of subgroups and interactions, and sensitivity analyses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64AC3C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Results-Clinical outcomes</w:t>
            </w:r>
          </w:p>
        </w:tc>
      </w:tr>
      <w:tr w14:paraId="6E26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</w:tcPr>
          <w:p w14:paraId="43E61E54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Discussion </w:t>
            </w:r>
          </w:p>
        </w:tc>
      </w:tr>
      <w:tr w14:paraId="71EF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77FF76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Key results 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902B1C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18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D29176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Summarize key results with reference to study objectives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B21DD0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Discussion</w:t>
            </w:r>
          </w:p>
          <w:p w14:paraId="45232FDD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</w:tr>
      <w:tr w14:paraId="2DEE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B71585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Limitations 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C14064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19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D03B8F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Discuss the limitations of the study, taking into account sources of potential bias or imprecision. Discuss both the direction and magnitude of any potential bias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A4C0A8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Discussion</w:t>
            </w:r>
          </w:p>
          <w:p w14:paraId="0F89A0EA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</w:tr>
      <w:tr w14:paraId="2010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4D6B67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Interpretation 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1E2257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20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1827DD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Give a cautious overall interpretation of results considering objectives, limitations, multiplicity of analyses, results from similar studies, and other relevant evidence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ABC4B4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Discussion</w:t>
            </w:r>
          </w:p>
          <w:p w14:paraId="54BE3555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</w:tr>
      <w:tr w14:paraId="0340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C3446E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Generalizability 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250C80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21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5D4A7E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Discuss the generalizability (external validity) of the study results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05CDB6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Discussion</w:t>
            </w:r>
          </w:p>
          <w:p w14:paraId="2BFF7BE5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</w:tr>
      <w:tr w14:paraId="5D8F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</w:tcPr>
          <w:p w14:paraId="6A411358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Other information </w:t>
            </w:r>
          </w:p>
        </w:tc>
      </w:tr>
      <w:tr w14:paraId="233B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D3A9D3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Funding 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2707C1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22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613396">
            <w:pPr>
              <w:pStyle w:val="10"/>
              <w:jc w:val="both"/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</w:rPr>
              <w:t xml:space="preserve">Give the source of funding and the role of the funders for the present study and, if applicable, for the original study on which the present article is based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5BF9BE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</w:rPr>
              <w:t>Funding</w:t>
            </w:r>
          </w:p>
          <w:p w14:paraId="4E04A502">
            <w:pPr>
              <w:widowControl w:val="0"/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</w:p>
        </w:tc>
      </w:tr>
    </w:tbl>
    <w:p w14:paraId="2D93A0E2">
      <w:pPr>
        <w:jc w:val="left"/>
        <w:rPr>
          <w:rFonts w:hint="default" w:ascii="Times New Roman" w:hAnsi="Times New Roman" w:cs="Times New Roman" w:eastAsiaTheme="minorEastAsia"/>
          <w:color w:val="000000"/>
          <w:sz w:val="20"/>
          <w:szCs w:val="24"/>
        </w:rPr>
      </w:pPr>
    </w:p>
    <w:p w14:paraId="138FC942">
      <w:pPr>
        <w:jc w:val="left"/>
        <w:rPr>
          <w:rFonts w:hint="default" w:ascii="Times New Roman" w:hAnsi="Times New Roman" w:cs="Times New Roman" w:eastAsiaTheme="minorEastAsia"/>
          <w:color w:val="000000"/>
          <w:sz w:val="20"/>
          <w:szCs w:val="24"/>
        </w:rPr>
      </w:pPr>
    </w:p>
    <w:p w14:paraId="4817F3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color w:val="000000"/>
          <w:sz w:val="20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0"/>
          <w:szCs w:val="24"/>
        </w:rPr>
        <w:br w:type="page"/>
      </w:r>
      <w:r>
        <w:rPr>
          <w:rFonts w:hint="default" w:ascii="Times New Roman" w:hAnsi="Times New Roman" w:cs="Times New Roman"/>
          <w:b/>
          <w:color w:val="000000"/>
          <w:sz w:val="20"/>
          <w:szCs w:val="24"/>
        </w:rPr>
        <w:t xml:space="preserve">Additional file 2. </w:t>
      </w:r>
      <w:r>
        <w:rPr>
          <w:rFonts w:hint="eastAsia" w:cs="Times New Roman"/>
          <w:sz w:val="24"/>
          <w:szCs w:val="24"/>
          <w:lang w:val="en-US" w:eastAsia="zh-CN"/>
        </w:rPr>
        <w:t>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he exact ingredients</w:t>
      </w:r>
      <w:r>
        <w:rPr>
          <w:rFonts w:hint="eastAsia" w:cs="Times New Roman"/>
          <w:sz w:val="24"/>
          <w:szCs w:val="24"/>
          <w:lang w:val="en-US" w:eastAsia="zh-CN"/>
        </w:rPr>
        <w:t xml:space="preserve"> of t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he Xietu Hemu prescription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2011"/>
        <w:gridCol w:w="2214"/>
        <w:gridCol w:w="2214"/>
      </w:tblGrid>
      <w:tr w14:paraId="1B2C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1ADBFACF">
            <w:pP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vertAlign w:val="baseline"/>
              </w:rPr>
              <w:t>Medicinal Name</w:t>
            </w:r>
          </w:p>
        </w:tc>
        <w:tc>
          <w:tcPr>
            <w:tcW w:w="2011" w:type="dxa"/>
          </w:tcPr>
          <w:p w14:paraId="07640F95">
            <w:pP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vertAlign w:val="baseline"/>
              </w:rPr>
              <w:t>Identified Botanist</w:t>
            </w:r>
          </w:p>
        </w:tc>
        <w:tc>
          <w:tcPr>
            <w:tcW w:w="2214" w:type="dxa"/>
          </w:tcPr>
          <w:p w14:paraId="65E06ADD">
            <w:pP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vertAlign w:val="baseline"/>
              </w:rPr>
              <w:t>Voucher Specimen (Public Herbarium)</w:t>
            </w:r>
          </w:p>
        </w:tc>
        <w:tc>
          <w:tcPr>
            <w:tcW w:w="2214" w:type="dxa"/>
          </w:tcPr>
          <w:p w14:paraId="2F62A7E2">
            <w:pP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vertAlign w:val="baseline"/>
              </w:rPr>
              <w:t>References</w:t>
            </w:r>
          </w:p>
        </w:tc>
      </w:tr>
      <w:tr w14:paraId="538A1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342706B5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党参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Style w:val="9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shd w:val="clear" w:fill="FFFFFF"/>
              </w:rPr>
              <w:t>Codonopsis pilosula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shd w:val="clear" w:fill="FFFFFF"/>
              </w:rPr>
              <w:t> (Franch.) Nannf.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 xml:space="preserve"> 10g</w:t>
            </w:r>
          </w:p>
        </w:tc>
        <w:tc>
          <w:tcPr>
            <w:tcW w:w="2011" w:type="dxa"/>
          </w:tcPr>
          <w:p w14:paraId="2445A51D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Herb.Nat.Acad.</w:t>
            </w:r>
          </w:p>
        </w:tc>
        <w:tc>
          <w:tcPr>
            <w:tcW w:w="2214" w:type="dxa"/>
          </w:tcPr>
          <w:p w14:paraId="0FBE5AD1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IBSC-0525519</w:t>
            </w:r>
          </w:p>
        </w:tc>
        <w:tc>
          <w:tcPr>
            <w:tcW w:w="2214" w:type="dxa"/>
          </w:tcPr>
          <w:p w14:paraId="55A0D91C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  <w:t>China Catalogue of Biodiversity 2025</w:t>
            </w:r>
            <w:r>
              <w:rPr>
                <w:rStyle w:val="9"/>
                <w:rFonts w:hint="eastAsia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superscript"/>
                <w:lang w:val="en-US" w:eastAsia="zh-CN"/>
              </w:rPr>
              <w:t>[1]</w:t>
            </w:r>
          </w:p>
        </w:tc>
      </w:tr>
      <w:tr w14:paraId="2CD1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08EFE261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黄芪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Style w:val="9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shd w:val="clear" w:fill="FFFFFF"/>
              </w:rPr>
              <w:t>Astragalus membranaceus Moench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 xml:space="preserve"> 10g</w:t>
            </w:r>
          </w:p>
        </w:tc>
        <w:tc>
          <w:tcPr>
            <w:tcW w:w="2011" w:type="dxa"/>
            <w:shd w:val="clear" w:color="auto" w:fill="auto"/>
            <w:vAlign w:val="top"/>
          </w:tcPr>
          <w:p w14:paraId="52803C97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Lingzhi Chen</w:t>
            </w:r>
          </w:p>
        </w:tc>
        <w:tc>
          <w:tcPr>
            <w:tcW w:w="2214" w:type="dxa"/>
            <w:shd w:val="clear" w:color="auto" w:fill="auto"/>
            <w:vAlign w:val="top"/>
          </w:tcPr>
          <w:p w14:paraId="145E2E97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PE-01609999</w:t>
            </w:r>
          </w:p>
        </w:tc>
        <w:tc>
          <w:tcPr>
            <w:tcW w:w="2214" w:type="dxa"/>
          </w:tcPr>
          <w:p w14:paraId="77963D09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  <w:t>China Catalogue of Biodiversity 2025</w:t>
            </w:r>
          </w:p>
        </w:tc>
      </w:tr>
      <w:tr w14:paraId="0C9E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10CCB6FC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白术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 xml:space="preserve"> Atractylodes macrocephala Koidz.10g</w:t>
            </w:r>
          </w:p>
        </w:tc>
        <w:tc>
          <w:tcPr>
            <w:tcW w:w="2011" w:type="dxa"/>
          </w:tcPr>
          <w:p w14:paraId="4504CDAB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Yilin Chen</w:t>
            </w:r>
          </w:p>
        </w:tc>
        <w:tc>
          <w:tcPr>
            <w:tcW w:w="2214" w:type="dxa"/>
          </w:tcPr>
          <w:p w14:paraId="336141BA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PE-01837432</w:t>
            </w:r>
          </w:p>
          <w:p w14:paraId="5FD3AFC5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4" w:type="dxa"/>
          </w:tcPr>
          <w:p w14:paraId="16D95432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  <w:t>China Catalogue of Biodiversity 2025</w:t>
            </w:r>
          </w:p>
        </w:tc>
      </w:tr>
      <w:tr w14:paraId="48E0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2D16AEB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柴胡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/Bupleurum chinense DC.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 xml:space="preserve"> 6g</w:t>
            </w:r>
          </w:p>
        </w:tc>
        <w:tc>
          <w:tcPr>
            <w:tcW w:w="2011" w:type="dxa"/>
          </w:tcPr>
          <w:p w14:paraId="409C71B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Fei Liu</w:t>
            </w:r>
          </w:p>
        </w:tc>
        <w:tc>
          <w:tcPr>
            <w:tcW w:w="2214" w:type="dxa"/>
          </w:tcPr>
          <w:p w14:paraId="25DB9397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GZTM0061391</w:t>
            </w:r>
          </w:p>
        </w:tc>
        <w:tc>
          <w:tcPr>
            <w:tcW w:w="2214" w:type="dxa"/>
          </w:tcPr>
          <w:p w14:paraId="52683D72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  <w:t>China Catalogue of Biodiversity 2025</w:t>
            </w:r>
          </w:p>
        </w:tc>
      </w:tr>
      <w:tr w14:paraId="3F89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508BCF1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白芍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 xml:space="preserve"> Paeonia obovata var. glabra Makino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10 g</w:t>
            </w:r>
          </w:p>
        </w:tc>
        <w:tc>
          <w:tcPr>
            <w:tcW w:w="2011" w:type="dxa"/>
          </w:tcPr>
          <w:p w14:paraId="4D775BE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Courtois</w:t>
            </w:r>
          </w:p>
        </w:tc>
        <w:tc>
          <w:tcPr>
            <w:tcW w:w="2214" w:type="dxa"/>
          </w:tcPr>
          <w:p w14:paraId="06BEF107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NAS00184693</w:t>
            </w:r>
          </w:p>
        </w:tc>
        <w:tc>
          <w:tcPr>
            <w:tcW w:w="2214" w:type="dxa"/>
          </w:tcPr>
          <w:p w14:paraId="4842589F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  <w:t>China Catalogue of Biodiversity 2025</w:t>
            </w:r>
          </w:p>
        </w:tc>
      </w:tr>
      <w:tr w14:paraId="7F02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75F8669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陈皮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 xml:space="preserve"> Citrus reticulata Blanco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6g</w:t>
            </w:r>
          </w:p>
        </w:tc>
        <w:tc>
          <w:tcPr>
            <w:tcW w:w="2011" w:type="dxa"/>
          </w:tcPr>
          <w:p w14:paraId="4EA9BB3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Taixing Chen</w:t>
            </w:r>
          </w:p>
        </w:tc>
        <w:tc>
          <w:tcPr>
            <w:tcW w:w="2214" w:type="dxa"/>
          </w:tcPr>
          <w:p w14:paraId="3EF31513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GZTM0020528</w:t>
            </w:r>
          </w:p>
        </w:tc>
        <w:tc>
          <w:tcPr>
            <w:tcW w:w="2214" w:type="dxa"/>
          </w:tcPr>
          <w:p w14:paraId="4CE25DD6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  <w:t>China Catalogue of Biodiversity 2025</w:t>
            </w:r>
          </w:p>
        </w:tc>
      </w:tr>
      <w:tr w14:paraId="2F8F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4366456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青皮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/Capparis sepiaria Linn.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 xml:space="preserve"> 10g</w:t>
            </w:r>
          </w:p>
        </w:tc>
        <w:tc>
          <w:tcPr>
            <w:tcW w:w="2011" w:type="dxa"/>
          </w:tcPr>
          <w:p w14:paraId="4268A51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S.K.M.</w:t>
            </w:r>
          </w:p>
        </w:tc>
        <w:tc>
          <w:tcPr>
            <w:tcW w:w="2214" w:type="dxa"/>
          </w:tcPr>
          <w:p w14:paraId="3F3A4EDB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PE-01120242</w:t>
            </w:r>
          </w:p>
        </w:tc>
        <w:tc>
          <w:tcPr>
            <w:tcW w:w="2214" w:type="dxa"/>
          </w:tcPr>
          <w:p w14:paraId="467D0C49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  <w:t>China Catalogue of Biodiversity 2025</w:t>
            </w:r>
          </w:p>
        </w:tc>
      </w:tr>
      <w:tr w14:paraId="0C3A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6B3554B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半夏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/Pinellia ternata Ten. ex Breitenb.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 xml:space="preserve"> 10g</w:t>
            </w:r>
          </w:p>
        </w:tc>
        <w:tc>
          <w:tcPr>
            <w:tcW w:w="2011" w:type="dxa"/>
          </w:tcPr>
          <w:p w14:paraId="1954EB8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Qi Lin</w:t>
            </w:r>
          </w:p>
        </w:tc>
        <w:tc>
          <w:tcPr>
            <w:tcW w:w="2214" w:type="dxa"/>
          </w:tcPr>
          <w:p w14:paraId="24C3F353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PE-02240649</w:t>
            </w:r>
          </w:p>
        </w:tc>
        <w:tc>
          <w:tcPr>
            <w:tcW w:w="2214" w:type="dxa"/>
          </w:tcPr>
          <w:p w14:paraId="6DE27C57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  <w:t>China Catalogue of Biodiversity 2025</w:t>
            </w:r>
          </w:p>
        </w:tc>
      </w:tr>
      <w:tr w14:paraId="06C8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33870D0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黄芩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/Scutellaria baicalensis Georgi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 xml:space="preserve"> 6g</w:t>
            </w:r>
          </w:p>
        </w:tc>
        <w:tc>
          <w:tcPr>
            <w:tcW w:w="2011" w:type="dxa"/>
          </w:tcPr>
          <w:p w14:paraId="60E0D00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Prof. SY Hu</w:t>
            </w:r>
          </w:p>
        </w:tc>
        <w:tc>
          <w:tcPr>
            <w:tcW w:w="2214" w:type="dxa"/>
          </w:tcPr>
          <w:p w14:paraId="5981442D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PE-02111140</w:t>
            </w:r>
          </w:p>
        </w:tc>
        <w:tc>
          <w:tcPr>
            <w:tcW w:w="2214" w:type="dxa"/>
          </w:tcPr>
          <w:p w14:paraId="4EBC5C34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  <w:t>China Catalogue of Biodiversity 2025</w:t>
            </w:r>
          </w:p>
        </w:tc>
      </w:tr>
      <w:tr w14:paraId="1470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70BE3C6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荷叶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 xml:space="preserve"> Adiantum reniforme Linn. var. sinense Y. X. Lin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10g</w:t>
            </w:r>
          </w:p>
        </w:tc>
        <w:tc>
          <w:tcPr>
            <w:tcW w:w="2011" w:type="dxa"/>
          </w:tcPr>
          <w:p w14:paraId="77EB69C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Y.S.Ling</w:t>
            </w:r>
          </w:p>
        </w:tc>
        <w:tc>
          <w:tcPr>
            <w:tcW w:w="2214" w:type="dxa"/>
          </w:tcPr>
          <w:p w14:paraId="7F04E1CF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PE-00049707</w:t>
            </w:r>
          </w:p>
        </w:tc>
        <w:tc>
          <w:tcPr>
            <w:tcW w:w="2214" w:type="dxa"/>
          </w:tcPr>
          <w:p w14:paraId="0A2E7F0D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  <w:t>China Catalogue of Biodiversity 2025</w:t>
            </w:r>
          </w:p>
        </w:tc>
      </w:tr>
      <w:tr w14:paraId="5609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579ED37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泽泻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/Alisma plantago-aquatica Linn.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 xml:space="preserve"> 10g</w:t>
            </w:r>
          </w:p>
        </w:tc>
        <w:tc>
          <w:tcPr>
            <w:tcW w:w="2011" w:type="dxa"/>
          </w:tcPr>
          <w:p w14:paraId="4ACA716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Lichun Yan</w:t>
            </w:r>
          </w:p>
        </w:tc>
        <w:tc>
          <w:tcPr>
            <w:tcW w:w="2214" w:type="dxa"/>
          </w:tcPr>
          <w:p w14:paraId="2AEA9C74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PE-01981131</w:t>
            </w:r>
          </w:p>
        </w:tc>
        <w:tc>
          <w:tcPr>
            <w:tcW w:w="2214" w:type="dxa"/>
          </w:tcPr>
          <w:p w14:paraId="07BC36BF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  <w:t>China Catalogue of Biodiversity 2025</w:t>
            </w:r>
          </w:p>
        </w:tc>
      </w:tr>
      <w:tr w14:paraId="5EFA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3FE5DB9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垂盆草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 xml:space="preserve"> Sedum sarmentosum Bunge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15 g</w:t>
            </w:r>
          </w:p>
        </w:tc>
        <w:tc>
          <w:tcPr>
            <w:tcW w:w="2011" w:type="dxa"/>
          </w:tcPr>
          <w:p w14:paraId="5CEE41F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Bo Liu</w:t>
            </w:r>
          </w:p>
        </w:tc>
        <w:tc>
          <w:tcPr>
            <w:tcW w:w="2214" w:type="dxa"/>
          </w:tcPr>
          <w:p w14:paraId="2893020B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PE-02112258</w:t>
            </w:r>
          </w:p>
        </w:tc>
        <w:tc>
          <w:tcPr>
            <w:tcW w:w="2214" w:type="dxa"/>
          </w:tcPr>
          <w:p w14:paraId="46A2C64A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  <w:t>China Catalogue of Biodiversity 2025</w:t>
            </w:r>
          </w:p>
        </w:tc>
      </w:tr>
      <w:tr w14:paraId="6988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0F87239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山楂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 xml:space="preserve"> Crataegus pinnatifida Bunge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10 g</w:t>
            </w:r>
          </w:p>
        </w:tc>
        <w:tc>
          <w:tcPr>
            <w:tcW w:w="2011" w:type="dxa"/>
          </w:tcPr>
          <w:p w14:paraId="716AB8A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Lingzhi Chen</w:t>
            </w:r>
          </w:p>
        </w:tc>
        <w:tc>
          <w:tcPr>
            <w:tcW w:w="2214" w:type="dxa"/>
          </w:tcPr>
          <w:p w14:paraId="04788725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PE-02109171</w:t>
            </w:r>
          </w:p>
        </w:tc>
        <w:tc>
          <w:tcPr>
            <w:tcW w:w="2214" w:type="dxa"/>
          </w:tcPr>
          <w:p w14:paraId="5E7DDC37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  <w:t>China Catalogue of Biodiversity 2025</w:t>
            </w:r>
          </w:p>
        </w:tc>
      </w:tr>
      <w:tr w14:paraId="2AD7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 w14:paraId="741ECB5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>路路通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/Liquidambar formosana Hance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  <w:t xml:space="preserve"> 10g</w:t>
            </w:r>
          </w:p>
        </w:tc>
        <w:tc>
          <w:tcPr>
            <w:tcW w:w="2011" w:type="dxa"/>
          </w:tcPr>
          <w:p w14:paraId="7601DC2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14" w:type="dxa"/>
          </w:tcPr>
          <w:p w14:paraId="7AD9A268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JXCM0008506</w:t>
            </w:r>
          </w:p>
        </w:tc>
        <w:tc>
          <w:tcPr>
            <w:tcW w:w="2214" w:type="dxa"/>
          </w:tcPr>
          <w:p w14:paraId="343581C9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  <w:t>China Catalogue of Biodiversity 2025</w:t>
            </w:r>
          </w:p>
        </w:tc>
      </w:tr>
    </w:tbl>
    <w:p w14:paraId="5A4205F0"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 doses daily, within 30 minutes after breakfast and dinner.</w:t>
      </w:r>
    </w:p>
    <w:p w14:paraId="578298B1"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cs="Times New Roman" w:eastAsiaTheme="minorEastAsia"/>
          <w:sz w:val="24"/>
          <w:szCs w:val="24"/>
          <w:lang w:val="en-US" w:eastAsia="zh-CN"/>
        </w:rPr>
        <w:t>[1] China Catalogue of Biodiversity. (2025). China Catalogue of Biodiversity 2025. Beijing: Science Press.</w:t>
      </w:r>
    </w:p>
    <w:p w14:paraId="0E28A393">
      <w:pPr>
        <w:rPr>
          <w:rFonts w:hint="default" w:ascii="Times New Roman" w:hAnsi="Times New Roman" w:cs="Times New Roman" w:eastAsiaTheme="minorEastAsia"/>
          <w:color w:val="000000"/>
          <w:sz w:val="20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0"/>
          <w:szCs w:val="24"/>
        </w:rPr>
        <w:br w:type="page"/>
      </w:r>
    </w:p>
    <w:p w14:paraId="5F3876AD"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0"/>
          <w:szCs w:val="24"/>
        </w:rPr>
        <w:t xml:space="preserve">Additional file </w:t>
      </w:r>
      <w:r>
        <w:rPr>
          <w:rFonts w:hint="eastAsia" w:cs="Times New Roman"/>
          <w:b/>
          <w:color w:val="000000"/>
          <w:sz w:val="20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color w:val="000000"/>
          <w:sz w:val="20"/>
          <w:szCs w:val="24"/>
        </w:rPr>
        <w:t xml:space="preserve">. </w:t>
      </w:r>
      <w:r>
        <w:rPr>
          <w:sz w:val="24"/>
          <w:szCs w:val="24"/>
        </w:rPr>
        <w:t>Sample size calculation.</w:t>
      </w:r>
    </w:p>
    <w:p w14:paraId="657489AB">
      <w:pPr>
        <w:ind w:firstLine="480" w:firstLineChars="200"/>
        <w:jc w:val="left"/>
        <w:rPr>
          <w:bCs/>
          <w:sz w:val="24"/>
          <w:szCs w:val="22"/>
          <w:shd w:val="clear" w:color="auto" w:fill="FFFFFF"/>
        </w:rPr>
      </w:pPr>
      <w:r>
        <w:rPr>
          <w:bCs/>
          <w:sz w:val="24"/>
          <w:szCs w:val="22"/>
          <w:shd w:val="clear" w:color="auto" w:fill="FFFFFF"/>
        </w:rPr>
        <w:t>We retrospectively analyzed clinical data for the period 2021.11-2022.7 based on an absolute value of CAP reduction of up to 4.1% as an endpoint event. The results were as follows.</w:t>
      </w:r>
    </w:p>
    <w:p w14:paraId="5C62715A">
      <w:pPr>
        <w:ind w:firstLine="480" w:firstLineChars="200"/>
        <w:jc w:val="left"/>
        <w:rPr>
          <w:bCs/>
          <w:sz w:val="24"/>
          <w:szCs w:val="22"/>
          <w:shd w:val="clear" w:color="auto" w:fill="FFFFFF"/>
        </w:rPr>
      </w:pPr>
      <w:r>
        <w:rPr>
          <w:bCs/>
          <w:sz w:val="24"/>
          <w:szCs w:val="22"/>
          <w:shd w:val="clear" w:color="auto" w:fill="FFFFFF"/>
        </w:rPr>
        <w:t>According to the following formula, in order to detect the occurrence of an endpoint event, which is consistent with the results of previous studies with a two-sided 5% significance level and a power of 90%, a sample size of 75 patients per cohort was necessary, given an anticipated drop out rate of 20%, and a final sample of 90 patients for each cohort to be included in this study was calculated, for a total of 180 patients.</w:t>
      </w:r>
    </w:p>
    <w:tbl>
      <w:tblPr>
        <w:tblStyle w:val="6"/>
        <w:tblpPr w:leftFromText="180" w:rightFromText="180" w:vertAnchor="text" w:horzAnchor="margin" w:tblpXSpec="center" w:tblpY="27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7"/>
        <w:gridCol w:w="2060"/>
        <w:gridCol w:w="2535"/>
      </w:tblGrid>
      <w:tr w14:paraId="4D62A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07" w:type="dxa"/>
            <w:tcBorders>
              <w:top w:val="single" w:color="000000" w:sz="8" w:space="0"/>
              <w:bottom w:val="single" w:color="auto" w:sz="4" w:space="0"/>
            </w:tcBorders>
          </w:tcPr>
          <w:p w14:paraId="5B4B899C">
            <w:pPr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color="000000" w:sz="8" w:space="0"/>
              <w:bottom w:val="single" w:color="auto" w:sz="4" w:space="0"/>
            </w:tcBorders>
          </w:tcPr>
          <w:p w14:paraId="06634C52">
            <w:pPr>
              <w:jc w:val="center"/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eastAsia" w:eastAsia="等线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R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</w:rPr>
              <w:t>eferen</w:t>
            </w:r>
            <w:r>
              <w:rPr>
                <w:rFonts w:hint="eastAsia" w:eastAsia="等线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t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cohort</w:t>
            </w:r>
          </w:p>
        </w:tc>
        <w:tc>
          <w:tcPr>
            <w:tcW w:w="2535" w:type="dxa"/>
            <w:tcBorders>
              <w:top w:val="single" w:color="000000" w:sz="8" w:space="0"/>
              <w:bottom w:val="single" w:color="auto" w:sz="4" w:space="0"/>
            </w:tcBorders>
          </w:tcPr>
          <w:p w14:paraId="1811743E">
            <w:pPr>
              <w:jc w:val="center"/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</w:rPr>
              <w:t>Exposure cohort</w:t>
            </w:r>
          </w:p>
        </w:tc>
      </w:tr>
      <w:tr w14:paraId="77BB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07" w:type="dxa"/>
            <w:tcBorders>
              <w:top w:val="single" w:color="auto" w:sz="4" w:space="0"/>
            </w:tcBorders>
          </w:tcPr>
          <w:p w14:paraId="1C0BE8AB">
            <w:pPr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2"/>
                <w:szCs w:val="22"/>
              </w:rPr>
              <w:t>Volume of medical records included</w:t>
            </w:r>
          </w:p>
        </w:tc>
        <w:tc>
          <w:tcPr>
            <w:tcW w:w="2060" w:type="dxa"/>
            <w:tcBorders>
              <w:top w:val="single" w:color="auto" w:sz="4" w:space="0"/>
            </w:tcBorders>
          </w:tcPr>
          <w:p w14:paraId="6C9056DB">
            <w:pPr>
              <w:jc w:val="center"/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42</w:t>
            </w:r>
          </w:p>
        </w:tc>
        <w:tc>
          <w:tcPr>
            <w:tcW w:w="2535" w:type="dxa"/>
            <w:tcBorders>
              <w:top w:val="single" w:color="auto" w:sz="4" w:space="0"/>
            </w:tcBorders>
          </w:tcPr>
          <w:p w14:paraId="04F13042">
            <w:pPr>
              <w:jc w:val="center"/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65</w:t>
            </w:r>
          </w:p>
        </w:tc>
      </w:tr>
      <w:tr w14:paraId="4511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07" w:type="dxa"/>
          </w:tcPr>
          <w:p w14:paraId="0F398933">
            <w:pPr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2"/>
                <w:szCs w:val="22"/>
              </w:rPr>
              <w:t>Effective cases</w:t>
            </w:r>
          </w:p>
        </w:tc>
        <w:tc>
          <w:tcPr>
            <w:tcW w:w="2060" w:type="dxa"/>
          </w:tcPr>
          <w:p w14:paraId="5B53E5AE">
            <w:pPr>
              <w:jc w:val="center"/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18</w:t>
            </w:r>
          </w:p>
        </w:tc>
        <w:tc>
          <w:tcPr>
            <w:tcW w:w="2535" w:type="dxa"/>
          </w:tcPr>
          <w:p w14:paraId="6DC0D2E4">
            <w:pPr>
              <w:jc w:val="center"/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45</w:t>
            </w:r>
          </w:p>
        </w:tc>
      </w:tr>
      <w:tr w14:paraId="3651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07" w:type="dxa"/>
            <w:tcBorders>
              <w:bottom w:val="nil"/>
            </w:tcBorders>
          </w:tcPr>
          <w:p w14:paraId="464486B6">
            <w:pPr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2"/>
                <w:szCs w:val="22"/>
              </w:rPr>
              <w:t>Invalid cases</w:t>
            </w:r>
          </w:p>
        </w:tc>
        <w:tc>
          <w:tcPr>
            <w:tcW w:w="2060" w:type="dxa"/>
            <w:tcBorders>
              <w:bottom w:val="nil"/>
            </w:tcBorders>
          </w:tcPr>
          <w:p w14:paraId="19002256">
            <w:pPr>
              <w:jc w:val="center"/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szCs w:val="22"/>
              </w:rPr>
              <w:t>24</w:t>
            </w:r>
          </w:p>
        </w:tc>
        <w:tc>
          <w:tcPr>
            <w:tcW w:w="2535" w:type="dxa"/>
            <w:tcBorders>
              <w:bottom w:val="nil"/>
            </w:tcBorders>
          </w:tcPr>
          <w:p w14:paraId="5F7F91FE">
            <w:pPr>
              <w:jc w:val="center"/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szCs w:val="22"/>
              </w:rPr>
              <w:t>20</w:t>
            </w:r>
          </w:p>
        </w:tc>
      </w:tr>
      <w:tr w14:paraId="7C2B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07" w:type="dxa"/>
            <w:tcBorders>
              <w:top w:val="nil"/>
              <w:left w:val="nil"/>
              <w:bottom w:val="single" w:color="auto" w:sz="8" w:space="0"/>
            </w:tcBorders>
          </w:tcPr>
          <w:p w14:paraId="24DF3FAB">
            <w:pPr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2"/>
                <w:szCs w:val="22"/>
              </w:rPr>
              <w:t>Effective rate</w:t>
            </w:r>
          </w:p>
        </w:tc>
        <w:tc>
          <w:tcPr>
            <w:tcW w:w="2060" w:type="dxa"/>
            <w:tcBorders>
              <w:top w:val="nil"/>
              <w:bottom w:val="single" w:color="auto" w:sz="8" w:space="0"/>
            </w:tcBorders>
          </w:tcPr>
          <w:p w14:paraId="7C805E47">
            <w:pPr>
              <w:jc w:val="center"/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szCs w:val="22"/>
              </w:rPr>
              <w:t>42.86%</w:t>
            </w:r>
          </w:p>
        </w:tc>
        <w:tc>
          <w:tcPr>
            <w:tcW w:w="2535" w:type="dxa"/>
            <w:tcBorders>
              <w:top w:val="nil"/>
              <w:bottom w:val="single" w:color="auto" w:sz="8" w:space="0"/>
              <w:right w:val="nil"/>
            </w:tcBorders>
          </w:tcPr>
          <w:p w14:paraId="0F305F3C">
            <w:pPr>
              <w:jc w:val="center"/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szCs w:val="22"/>
              </w:rPr>
              <w:t>69.23%</w:t>
            </w:r>
          </w:p>
        </w:tc>
      </w:tr>
    </w:tbl>
    <w:p w14:paraId="06A0F6A9">
      <w:pPr>
        <w:jc w:val="left"/>
        <w:rPr>
          <w:bCs/>
          <w:shd w:val="clear" w:color="auto" w:fill="FFFFFF"/>
        </w:rPr>
      </w:pPr>
    </w:p>
    <w:p w14:paraId="6AA6BE8F">
      <w:pPr>
        <w:jc w:val="left"/>
        <w:rPr>
          <w:bCs/>
          <w:shd w:val="clear" w:color="auto" w:fill="FFFFFF"/>
        </w:rPr>
      </w:pPr>
    </w:p>
    <w:p w14:paraId="6F13E1BD">
      <w:pPr>
        <w:jc w:val="left"/>
        <w:rPr>
          <w:rFonts w:hint="default" w:eastAsia="宋体"/>
          <w:bCs/>
          <w:shd w:val="clear" w:color="auto" w:fill="FFFFFF"/>
          <w:lang w:val="en-US" w:eastAsia="zh-CN"/>
        </w:rPr>
      </w:pPr>
      <m:oMathPara>
        <m:oMath>
          <m:r>
            <m:rPr>
              <m:sty m:val="p"/>
            </m:rPr>
            <w:rPr>
              <w:rFonts w:hint="eastAsia" w:ascii="Cambria Math" w:hAnsi="Cambria Math" w:cs="Times New Roman"/>
              <w:kern w:val="2"/>
              <w:sz w:val="21"/>
              <w:shd w:val="clear" w:color="auto" w:fill="FFFFFF"/>
              <w:lang w:val="en-US" w:eastAsia="zh-CN" w:bidi="ar-SA"/>
            </w:rPr>
            <m:t>n</m:t>
          </m:r>
          <m:r>
            <m:rPr>
              <m:sty m:val="p"/>
            </m:rPr>
            <w:rPr>
              <w:rFonts w:hint="default" w:ascii="Cambria Math" w:hAnsi="Cambria Math" w:cs="Times New Roman"/>
              <w:kern w:val="2"/>
              <w:sz w:val="21"/>
              <w:shd w:val="clear" w:color="auto" w:fill="FFFFFF"/>
              <w:lang w:val="en-US" w:eastAsia="zh-CN" w:bidi="ar-SA"/>
            </w:rPr>
            <m:t>=</m:t>
          </m:r>
          <m:f>
            <m:fPr>
              <m:ctrlPr>
                <m:rPr/>
                <w:rPr>
                  <w:rFonts w:hint="default" w:ascii="Cambria Math" w:hAnsi="Cambria Math" w:cs="Times New Roman"/>
                  <w:bCs/>
                  <w:kern w:val="2"/>
                  <w:sz w:val="21"/>
                  <w:shd w:val="clear" w:color="auto" w:fill="FFFFFF"/>
                  <w:lang w:val="en-US" w:eastAsia="zh-CN" w:bidi="ar-SA"/>
                </w:rPr>
              </m:ctrlPr>
            </m:fPr>
            <m:num>
              <m:sSup>
                <m:sSupPr>
                  <m:ctrlPr>
                    <m:rPr/>
                    <w:rPr>
                      <w:rFonts w:hint="default" w:ascii="Cambria Math" w:hAnsi="Cambria Math" w:cs="Times New Roman"/>
                      <w:bCs/>
                      <w:kern w:val="2"/>
                      <w:sz w:val="21"/>
                      <w:shd w:val="clear" w:color="auto" w:fill="FFFFFF"/>
                      <w:lang w:val="en-US" w:eastAsia="zh-CN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21"/>
                      <w:shd w:val="clear" w:color="auto" w:fill="FFFFFF"/>
                      <w:lang w:val="en-US" w:eastAsia="zh-CN" w:bidi="ar-SA"/>
                    </w:rPr>
                    <m:t>[</m:t>
                  </m:r>
                  <m:sSub>
                    <m:sSubPr>
                      <m:ctrlPr>
                        <w:rPr>
                          <w:rFonts w:hint="eastAsia" w:ascii="Cambria Math" w:hAnsi="Cambria Math" w:cs="Times New Roman"/>
                          <w:bCs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  <m:t>z</m:t>
                      </m:r>
                      <m:ctrlPr>
                        <w:rPr>
                          <w:rFonts w:hint="eastAsia" w:ascii="Cambria Math" w:hAnsi="Cambria Math" w:cs="Times New Roman"/>
                          <w:bCs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eastAsia" w:ascii="Cambria Math" w:hAnsi="Cambria Math" w:cs="Times New Roman"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  <m:t>α</m:t>
                      </m:r>
                      <m:ctrlPr>
                        <w:rPr>
                          <w:rFonts w:hint="eastAsia" w:ascii="Cambria Math" w:hAnsi="Cambria Math" w:cs="Times New Roman"/>
                          <w:bCs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</m:ctrlPr>
                    </m:sub>
                  </m:sSub>
                  <m:rad>
                    <m:radPr>
                      <m:degHide m:val="1"/>
                      <m:ctrlPr>
                        <w:rPr>
                          <w:rFonts w:hint="eastAsia" w:ascii="Cambria Math" w:hAnsi="Cambria Math" w:cs="Times New Roman"/>
                          <w:bCs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</m:ctrlPr>
                    </m:radPr>
                    <m:deg>
                      <m:ctrlPr>
                        <w:rPr>
                          <w:rFonts w:hint="eastAsia" w:ascii="Cambria Math" w:hAnsi="Cambria Math" w:cs="Times New Roman"/>
                          <w:bCs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 w:cs="Times New Roman"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  <m:t>pq</m:t>
                      </m:r>
                      <m:ctrlPr>
                        <w:rPr>
                          <w:rFonts w:hint="eastAsia" w:ascii="Cambria Math" w:hAnsi="Cambria Math" w:cs="Times New Roman"/>
                          <w:bCs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</m:ctrlPr>
                    </m:e>
                  </m:rad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21"/>
                      <w:shd w:val="clear" w:color="auto" w:fill="FFFFFF"/>
                      <w:lang w:val="en-US" w:eastAsia="zh-CN" w:bidi="ar-SA"/>
                    </w:rPr>
                    <m:t>+z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cs="Times New Roman"/>
                      <w:kern w:val="2"/>
                      <w:sz w:val="21"/>
                      <w:shd w:val="clear" w:color="auto" w:fill="FFFFFF"/>
                      <w:lang w:val="en-US" w:eastAsia="zh-CN" w:bidi="ar-SA"/>
                    </w:rPr>
                    <m:t>β</m:t>
                  </m:r>
                  <m:rad>
                    <m:radPr>
                      <m:degHide m:val="1"/>
                      <m:ctrlPr>
                        <w:rPr>
                          <w:rFonts w:hint="eastAsia" w:ascii="Cambria Math" w:hAnsi="Cambria Math" w:cs="Times New Roman"/>
                          <w:bCs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</m:ctrlPr>
                    </m:radPr>
                    <m:deg>
                      <m:ctrlPr>
                        <w:rPr>
                          <w:rFonts w:hint="eastAsia" w:ascii="Cambria Math" w:hAnsi="Cambria Math" w:cs="Times New Roman"/>
                          <w:bCs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</m:ctrlPr>
                    </m:deg>
                    <m:e>
                      <m:sSub>
                        <m:sSubPr>
                          <m:ctrlPr>
                            <w:rPr>
                              <w:rFonts w:hint="eastAsia" w:ascii="Cambria Math" w:hAnsi="Cambria Math" w:cs="Times New Roman"/>
                              <w:bCs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hint="eastAsia" w:ascii="Cambria Math" w:hAnsi="Cambria Math" w:cs="Times New Roman"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  <m:t>p</m:t>
                          </m:r>
                          <m:ctrlPr>
                            <w:rPr>
                              <w:rFonts w:hint="eastAsia" w:ascii="Cambria Math" w:hAnsi="Cambria Math" w:cs="Times New Roman"/>
                              <w:bCs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="Times New Roman"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  <m:t>1</m:t>
                          </m:r>
                          <m:ctrlPr>
                            <w:rPr>
                              <w:rFonts w:hint="eastAsia" w:ascii="Cambria Math" w:hAnsi="Cambria Math" w:cs="Times New Roman"/>
                              <w:bCs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</m:ctrlPr>
                        </m:sub>
                      </m:sSub>
                      <m:r>
                        <m:rPr>
                          <m:sty m:val="p"/>
                        </m:rPr>
                        <w:rPr>
                          <w:rFonts w:hint="eastAsia" w:ascii="Cambria Math" w:hAnsi="Cambria Math" w:cs="Times New Roman"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  <m:t>（</m:t>
                      </m:r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  <m:t>1−</m:t>
                      </m:r>
                      <m:sSub>
                        <m:sSubPr>
                          <m:ctrlPr>
                            <w:rPr>
                              <w:rFonts w:hint="eastAsia" w:ascii="Cambria Math" w:hAnsi="Cambria Math" w:cs="Times New Roman"/>
                              <w:bCs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hint="eastAsia" w:ascii="Cambria Math" w:hAnsi="Cambria Math" w:cs="Times New Roman"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  <m:t>p</m:t>
                          </m:r>
                          <m:ctrlPr>
                            <w:rPr>
                              <w:rFonts w:hint="eastAsia" w:ascii="Cambria Math" w:hAnsi="Cambria Math" w:cs="Times New Roman"/>
                              <w:bCs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="Times New Roman"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  <m:t>1</m:t>
                          </m:r>
                          <m:ctrlPr>
                            <w:rPr>
                              <w:rFonts w:hint="eastAsia" w:ascii="Cambria Math" w:hAnsi="Cambria Math" w:cs="Times New Roman"/>
                              <w:bCs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</m:ctrlPr>
                        </m:sub>
                      </m:sSub>
                      <m:r>
                        <m:rPr>
                          <m:sty m:val="p"/>
                        </m:rPr>
                        <w:rPr>
                          <w:rFonts w:hint="eastAsia" w:ascii="Cambria Math" w:hAnsi="Cambria Math" w:cs="Times New Roman"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  <m:t>）</m:t>
                      </m:r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hint="eastAsia" w:ascii="Cambria Math" w:hAnsi="Cambria Math" w:cs="Times New Roman"/>
                              <w:bCs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hint="eastAsia" w:ascii="Cambria Math" w:hAnsi="Cambria Math" w:cs="Times New Roman"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  <m:t>p</m:t>
                          </m:r>
                          <m:ctrlPr>
                            <w:rPr>
                              <w:rFonts w:hint="eastAsia" w:ascii="Cambria Math" w:hAnsi="Cambria Math" w:cs="Times New Roman"/>
                              <w:bCs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="Times New Roman"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  <m:t>2</m:t>
                          </m:r>
                          <m:ctrlPr>
                            <w:rPr>
                              <w:rFonts w:hint="eastAsia" w:ascii="Cambria Math" w:hAnsi="Cambria Math" w:cs="Times New Roman"/>
                              <w:bCs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</m:ctrlPr>
                        </m:sub>
                      </m:sSub>
                      <m:r>
                        <m:rPr>
                          <m:sty m:val="p"/>
                        </m:rPr>
                        <w:rPr>
                          <w:rFonts w:hint="eastAsia" w:ascii="Cambria Math" w:hAnsi="Cambria Math" w:cs="Times New Roman"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  <m:t>（</m:t>
                      </m:r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  <m:t>1−</m:t>
                      </m:r>
                      <m:sSub>
                        <m:sSubPr>
                          <m:ctrlPr>
                            <w:rPr>
                              <w:rFonts w:hint="eastAsia" w:ascii="Cambria Math" w:hAnsi="Cambria Math" w:cs="Times New Roman"/>
                              <w:bCs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hint="eastAsia" w:ascii="Cambria Math" w:hAnsi="Cambria Math" w:cs="Times New Roman"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  <m:t>p</m:t>
                          </m:r>
                          <m:ctrlPr>
                            <w:rPr>
                              <w:rFonts w:hint="eastAsia" w:ascii="Cambria Math" w:hAnsi="Cambria Math" w:cs="Times New Roman"/>
                              <w:bCs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="Times New Roman"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  <m:t>2</m:t>
                          </m:r>
                          <m:ctrlPr>
                            <w:rPr>
                              <w:rFonts w:hint="eastAsia" w:ascii="Cambria Math" w:hAnsi="Cambria Math" w:cs="Times New Roman"/>
                              <w:bCs/>
                              <w:kern w:val="2"/>
                              <w:sz w:val="21"/>
                              <w:shd w:val="clear" w:color="auto" w:fill="FFFFFF"/>
                              <w:lang w:val="en-US" w:eastAsia="zh-CN" w:bidi="ar-SA"/>
                            </w:rPr>
                          </m:ctrlPr>
                        </m:sub>
                      </m:sSub>
                      <m:r>
                        <m:rPr>
                          <m:sty m:val="p"/>
                        </m:rPr>
                        <w:rPr>
                          <w:rFonts w:hint="eastAsia" w:ascii="Cambria Math" w:hAnsi="Cambria Math" w:cs="Times New Roman"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  <m:t>）</m:t>
                      </m:r>
                      <m:ctrlPr>
                        <w:rPr>
                          <w:rFonts w:hint="eastAsia" w:ascii="Cambria Math" w:hAnsi="Cambria Math" w:cs="Times New Roman"/>
                          <w:bCs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</m:ctrlPr>
                    </m:e>
                  </m:rad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21"/>
                      <w:shd w:val="clear" w:color="auto" w:fill="FFFFFF"/>
                      <w:lang w:val="en-US" w:eastAsia="zh-CN" w:bidi="ar-SA"/>
                    </w:rPr>
                    <m:t>]</m:t>
                  </m:r>
                  <m:ctrlPr>
                    <m:rPr/>
                    <w:rPr>
                      <w:rFonts w:hint="default" w:ascii="Cambria Math" w:hAnsi="Cambria Math" w:cs="Times New Roman"/>
                      <w:bCs/>
                      <w:kern w:val="2"/>
                      <w:sz w:val="21"/>
                      <w:shd w:val="clear" w:color="auto" w:fill="FFFFFF"/>
                      <w:lang w:val="en-US" w:eastAsia="zh-CN" w:bidi="ar-SA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kern w:val="2"/>
                      <w:sz w:val="21"/>
                      <w:shd w:val="clear" w:color="auto" w:fill="FFFFFF"/>
                      <w:lang w:val="en-US" w:bidi="ar-SA"/>
                    </w:rPr>
                    <m:t>2</m:t>
                  </m:r>
                  <m:ctrlPr>
                    <m:rPr/>
                    <w:rPr>
                      <w:rFonts w:hint="default" w:ascii="Cambria Math" w:hAnsi="Cambria Math" w:cs="Times New Roman"/>
                      <w:bCs/>
                      <w:kern w:val="2"/>
                      <w:sz w:val="21"/>
                      <w:shd w:val="clear" w:color="auto" w:fill="FFFFFF"/>
                      <w:lang w:val="en-US" w:eastAsia="zh-CN" w:bidi="ar-SA"/>
                    </w:rPr>
                  </m:ctrlPr>
                </m:sup>
              </m:sSup>
              <m:ctrlPr>
                <m:rPr/>
                <w:rPr>
                  <w:rFonts w:hint="default" w:ascii="Cambria Math" w:hAnsi="Cambria Math" w:cs="Times New Roman"/>
                  <w:bCs/>
                  <w:kern w:val="2"/>
                  <w:sz w:val="21"/>
                  <w:shd w:val="clear" w:color="auto" w:fill="FFFFFF"/>
                  <w:lang w:val="en-US" w:eastAsia="zh-CN" w:bidi="ar-SA"/>
                </w:rPr>
              </m:ctrlPr>
            </m:num>
            <m:den>
              <m:sSup>
                <m:sSupPr>
                  <m:ctrlPr>
                    <m:rPr/>
                    <w:rPr>
                      <w:rFonts w:hint="default" w:ascii="Cambria Math" w:hAnsi="Cambria Math" w:cs="Times New Roman"/>
                      <w:bCs/>
                      <w:kern w:val="2"/>
                      <w:sz w:val="21"/>
                      <w:shd w:val="clear" w:color="auto" w:fill="FFFFFF"/>
                      <w:lang w:val="en-US" w:eastAsia="zh-CN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eastAsia" w:ascii="Cambria Math" w:hAnsi="Cambria Math" w:cs="Times New Roman"/>
                      <w:kern w:val="2"/>
                      <w:sz w:val="21"/>
                      <w:shd w:val="clear" w:color="auto" w:fill="FFFFFF"/>
                      <w:lang w:val="en-US" w:eastAsia="zh-CN" w:bidi="ar-SA"/>
                    </w:rPr>
                    <m:t>（</m:t>
                  </m:r>
                  <m:sSub>
                    <m:sSubPr>
                      <m:ctrlPr>
                        <w:rPr>
                          <w:rFonts w:hint="eastAsia" w:ascii="Cambria Math" w:hAnsi="Cambria Math" w:cs="Times New Roman"/>
                          <w:bCs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eastAsia" w:ascii="Cambria Math" w:hAnsi="Cambria Math" w:cs="Times New Roman"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  <m:t>p</m:t>
                      </m:r>
                      <m:ctrlPr>
                        <w:rPr>
                          <w:rFonts w:hint="eastAsia" w:ascii="Cambria Math" w:hAnsi="Cambria Math" w:cs="Times New Roman"/>
                          <w:bCs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  <m:t>1</m:t>
                      </m:r>
                      <m:ctrlPr>
                        <w:rPr>
                          <w:rFonts w:hint="eastAsia" w:ascii="Cambria Math" w:hAnsi="Cambria Math" w:cs="Times New Roman"/>
                          <w:bCs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21"/>
                      <w:shd w:val="clear" w:color="auto" w:fill="FFFFFF"/>
                      <w:lang w:val="en-US" w:eastAsia="zh-CN" w:bidi="ar-SA"/>
                    </w:rPr>
                    <m:t>−</m:t>
                  </m:r>
                  <m:sSub>
                    <m:sSubPr>
                      <m:ctrlPr>
                        <w:rPr>
                          <w:rFonts w:hint="eastAsia" w:ascii="Cambria Math" w:hAnsi="Cambria Math" w:cs="Times New Roman"/>
                          <w:bCs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eastAsia" w:ascii="Cambria Math" w:hAnsi="Cambria Math" w:cs="Times New Roman"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  <m:t>p</m:t>
                      </m:r>
                      <m:ctrlPr>
                        <w:rPr>
                          <w:rFonts w:hint="eastAsia" w:ascii="Cambria Math" w:hAnsi="Cambria Math" w:cs="Times New Roman"/>
                          <w:bCs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  <m:t>2</m:t>
                      </m:r>
                      <m:ctrlPr>
                        <w:rPr>
                          <w:rFonts w:hint="eastAsia" w:ascii="Cambria Math" w:hAnsi="Cambria Math" w:cs="Times New Roman"/>
                          <w:bCs/>
                          <w:kern w:val="2"/>
                          <w:sz w:val="21"/>
                          <w:shd w:val="clear" w:color="auto" w:fill="FFFFFF"/>
                          <w:lang w:val="en-US" w:eastAsia="zh-CN" w:bidi="ar-SA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hint="eastAsia" w:ascii="Cambria Math" w:hAnsi="Cambria Math" w:cs="Times New Roman"/>
                      <w:kern w:val="2"/>
                      <w:sz w:val="21"/>
                      <w:shd w:val="clear" w:color="auto" w:fill="FFFFFF"/>
                      <w:lang w:val="en-US" w:eastAsia="zh-CN" w:bidi="ar-SA"/>
                    </w:rPr>
                    <m:t>）</m:t>
                  </m:r>
                  <m:ctrlPr>
                    <m:rPr/>
                    <w:rPr>
                      <w:rFonts w:hint="default" w:ascii="Cambria Math" w:hAnsi="Cambria Math" w:cs="Times New Roman"/>
                      <w:bCs/>
                      <w:kern w:val="2"/>
                      <w:sz w:val="21"/>
                      <w:shd w:val="clear" w:color="auto" w:fill="FFFFFF"/>
                      <w:lang w:val="en-US" w:eastAsia="zh-CN" w:bidi="ar-SA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21"/>
                      <w:shd w:val="clear" w:color="auto" w:fill="FFFFFF"/>
                      <w:lang w:val="en-US" w:eastAsia="zh-CN" w:bidi="ar-SA"/>
                    </w:rPr>
                    <m:t>2</m:t>
                  </m:r>
                  <m:ctrlPr>
                    <m:rPr/>
                    <w:rPr>
                      <w:rFonts w:hint="default" w:ascii="Cambria Math" w:hAnsi="Cambria Math" w:cs="Times New Roman"/>
                      <w:bCs/>
                      <w:kern w:val="2"/>
                      <w:sz w:val="21"/>
                      <w:shd w:val="clear" w:color="auto" w:fill="FFFFFF"/>
                      <w:lang w:val="en-US" w:eastAsia="zh-CN" w:bidi="ar-SA"/>
                    </w:rPr>
                  </m:ctrlPr>
                </m:sup>
              </m:sSup>
              <m:ctrlPr>
                <m:rPr/>
                <w:rPr>
                  <w:rFonts w:hint="default" w:ascii="Cambria Math" w:hAnsi="Cambria Math" w:cs="Times New Roman"/>
                  <w:bCs/>
                  <w:kern w:val="2"/>
                  <w:sz w:val="21"/>
                  <w:shd w:val="clear" w:color="auto" w:fill="FFFFFF"/>
                  <w:lang w:val="en-US" w:eastAsia="zh-CN" w:bidi="ar-SA"/>
                </w:rPr>
              </m:ctrlPr>
            </m:den>
          </m:f>
        </m:oMath>
      </m:oMathPara>
    </w:p>
    <w:p w14:paraId="50EA0AE4">
      <w:pPr>
        <w:jc w:val="left"/>
        <w:rPr>
          <w:bCs/>
          <w:shd w:val="clear" w:color="auto" w:fill="FFFFFF"/>
        </w:rPr>
      </w:pPr>
    </w:p>
    <w:p w14:paraId="4F2D8A0B">
      <w:pPr>
        <w:jc w:val="left"/>
        <w:rPr>
          <w:bCs/>
          <w:shd w:val="clear" w:color="auto" w:fill="FFFFFF"/>
        </w:rPr>
      </w:pPr>
    </w:p>
    <w:p w14:paraId="7BFEA844">
      <w:pPr>
        <w:rPr>
          <w:rFonts w:hint="default" w:ascii="Times New Roman" w:hAnsi="Times New Roman" w:cs="Times New Roman"/>
          <w:b/>
          <w:color w:val="000000"/>
          <w:sz w:val="20"/>
          <w:szCs w:val="24"/>
        </w:rPr>
      </w:pPr>
    </w:p>
    <w:p w14:paraId="3B21A3FF">
      <w:pPr>
        <w:rPr>
          <w:rFonts w:hint="default" w:ascii="Times New Roman" w:hAnsi="Times New Roman" w:cs="Times New Roman"/>
          <w:b/>
          <w:color w:val="000000"/>
          <w:sz w:val="20"/>
          <w:szCs w:val="24"/>
        </w:rPr>
      </w:pPr>
      <w:bookmarkStart w:id="0" w:name="_GoBack"/>
      <w:bookmarkEnd w:id="0"/>
    </w:p>
    <w:p w14:paraId="58A4C7FE">
      <w:pPr>
        <w:rPr>
          <w:rFonts w:hint="default" w:ascii="Times New Roman" w:hAnsi="Times New Roman" w:cs="Times New Roman"/>
          <w:b/>
          <w:color w:val="000000"/>
          <w:sz w:val="20"/>
          <w:szCs w:val="24"/>
        </w:rPr>
      </w:pPr>
    </w:p>
    <w:p w14:paraId="5C63F7B8">
      <w:pPr>
        <w:rPr>
          <w:rFonts w:hint="default" w:ascii="Times New Roman" w:hAnsi="Times New Roman" w:cs="Times New Roman"/>
          <w:b/>
          <w:color w:val="000000"/>
          <w:sz w:val="20"/>
          <w:szCs w:val="24"/>
        </w:rPr>
      </w:pPr>
    </w:p>
    <w:p w14:paraId="2D298653">
      <w:pPr>
        <w:rPr>
          <w:rFonts w:hint="default" w:ascii="Times New Roman" w:hAnsi="Times New Roman" w:cs="Times New Roman"/>
          <w:b/>
          <w:color w:val="000000"/>
          <w:sz w:val="20"/>
          <w:szCs w:val="24"/>
        </w:rPr>
      </w:pPr>
    </w:p>
    <w:p w14:paraId="596B3C4C">
      <w:pPr>
        <w:rPr>
          <w:rFonts w:hint="default" w:ascii="Times New Roman" w:hAnsi="Times New Roman" w:cs="Times New Roman"/>
          <w:b/>
          <w:color w:val="000000"/>
          <w:sz w:val="20"/>
          <w:szCs w:val="24"/>
        </w:rPr>
      </w:pPr>
    </w:p>
    <w:p w14:paraId="57BD2465">
      <w:pPr>
        <w:rPr>
          <w:rFonts w:hint="default" w:ascii="Times New Roman" w:hAnsi="Times New Roman" w:cs="Times New Roman"/>
          <w:b/>
          <w:color w:val="000000"/>
          <w:sz w:val="20"/>
          <w:szCs w:val="24"/>
        </w:rPr>
      </w:pPr>
    </w:p>
    <w:p w14:paraId="1C48F184">
      <w:pPr>
        <w:rPr>
          <w:rFonts w:hint="default" w:ascii="Times New Roman" w:hAnsi="Times New Roman" w:cs="Times New Roman"/>
          <w:bCs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0"/>
          <w:szCs w:val="24"/>
        </w:rPr>
        <w:br w:type="page"/>
      </w:r>
    </w:p>
    <w:p w14:paraId="4BB7FF29">
      <w:pPr>
        <w:rPr>
          <w:rFonts w:hint="default" w:ascii="Times New Roman" w:hAnsi="Times New Roman" w:cs="Times New Roman"/>
          <w:b/>
          <w:color w:val="000000"/>
          <w:sz w:val="24"/>
          <w:szCs w:val="24"/>
        </w:rPr>
        <w:sectPr>
          <w:pgSz w:w="12240" w:h="16340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 w14:paraId="3212E087">
      <w:pPr>
        <w:rPr>
          <w:rFonts w:hint="default" w:ascii="Times New Roman" w:hAnsi="Times New Roman" w:cs="Times New Roman"/>
          <w:color w:val="000000"/>
          <w:kern w:val="0"/>
          <w:sz w:val="22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Additional file </w:t>
      </w:r>
      <w:r>
        <w:rPr>
          <w:rFonts w:hint="eastAsia" w:cs="Times New Roman"/>
          <w:b/>
          <w:color w:val="00000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Baseline demographic and clinical characteristics of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2"/>
        </w:rPr>
        <w:t>different XHP treatment duration cohorts</w:t>
      </w:r>
      <w:r>
        <w:rPr>
          <w:rFonts w:hint="default" w:ascii="Times New Roman" w:hAnsi="Times New Roman" w:cs="Times New Roman"/>
          <w:sz w:val="24"/>
          <w:szCs w:val="24"/>
        </w:rPr>
        <w:t xml:space="preserve"> vs. referen</w:t>
      </w:r>
      <w:r>
        <w:rPr>
          <w:rFonts w:hint="eastAsia" w:cs="Times New Roman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24"/>
        </w:rPr>
        <w:t xml:space="preserve"> cohort.</w:t>
      </w:r>
    </w:p>
    <w:tbl>
      <w:tblPr>
        <w:tblStyle w:val="5"/>
        <w:tblW w:w="160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233"/>
        <w:gridCol w:w="2233"/>
        <w:gridCol w:w="2233"/>
        <w:gridCol w:w="2242"/>
        <w:gridCol w:w="2233"/>
        <w:gridCol w:w="2233"/>
        <w:gridCol w:w="1103"/>
      </w:tblGrid>
      <w:tr w14:paraId="76A93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4A8A2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Characteristic</w:t>
            </w:r>
          </w:p>
        </w:tc>
        <w:tc>
          <w:tcPr>
            <w:tcW w:w="2233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66EBD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All patients</w:t>
            </w:r>
          </w:p>
        </w:tc>
        <w:tc>
          <w:tcPr>
            <w:tcW w:w="2233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04E468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referen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 xml:space="preserve"> cohort</w:t>
            </w:r>
          </w:p>
        </w:tc>
        <w:tc>
          <w:tcPr>
            <w:tcW w:w="2233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E04FFE">
            <w:pPr>
              <w:pStyle w:val="4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</w:rPr>
              <w:t>4 weeks of continuous use of X</w:t>
            </w:r>
            <w:r>
              <w:rPr>
                <w:rFonts w:hint="eastAsia" w:cs="Times New Roman"/>
                <w:b/>
                <w:bCs/>
                <w:color w:val="000000"/>
                <w:sz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</w:rPr>
              <w:t>P cohort</w:t>
            </w:r>
          </w:p>
        </w:tc>
        <w:tc>
          <w:tcPr>
            <w:tcW w:w="2242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7BDFDF">
            <w:pPr>
              <w:pStyle w:val="4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</w:rPr>
              <w:t>8 weeks of continuous use of XHP cohort</w:t>
            </w:r>
          </w:p>
        </w:tc>
        <w:tc>
          <w:tcPr>
            <w:tcW w:w="2233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48C2F7">
            <w:pPr>
              <w:pStyle w:val="4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</w:rPr>
              <w:t>12 weeks of continuous use of XHP cohort</w:t>
            </w:r>
          </w:p>
        </w:tc>
        <w:tc>
          <w:tcPr>
            <w:tcW w:w="2233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7F733E">
            <w:pPr>
              <w:pStyle w:val="4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</w:rPr>
              <w:t>≥16 weeks of continuous use of XHP cohort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6BDA2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p-Value</w:t>
            </w:r>
          </w:p>
        </w:tc>
      </w:tr>
      <w:tr w14:paraId="62AA2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F9CCDB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26302A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（n=262）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87EF9B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（n=99）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D1BEAE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（n=28）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49CE78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（n=60）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168DE7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（n=51）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15F669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（n=24）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E08F3F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DF9A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BD0B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 xml:space="preserve">ex, n (%) 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5B16A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10CD9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FE7DC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1ABD6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BAD62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D588C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2962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0.062</w:t>
            </w:r>
          </w:p>
        </w:tc>
      </w:tr>
      <w:tr w14:paraId="43386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7BF0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365D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134(51.15)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62A8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55(55.56)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3AAE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19(67.86)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071D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31(51.67)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500E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21(41.18)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B8EF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8(33.33)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86B3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58168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E31A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DE95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128(48.85)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FD6B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44(44.44)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C6B8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9(32.14)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D1D4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29(48.33)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807B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30(58.82)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FD16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16(66.67)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4B36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007D8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FC92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Age, yr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C8BE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40.97±13.12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2F6C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42.00±13.71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391F9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46.25±10.40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D746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40.00±11.29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79CA9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37.65±12.75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38EB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37.30±18.48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D85D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0.796</w:t>
            </w:r>
          </w:p>
        </w:tc>
      </w:tr>
      <w:tr w14:paraId="50E1E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2356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Hypertension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F2E40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BE6D6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6BC23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C615F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C95DC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48E19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C490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0.044</w:t>
            </w:r>
          </w:p>
        </w:tc>
      </w:tr>
      <w:tr w14:paraId="3D8FD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B4628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4403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42(16.03)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6DF2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27(27.27)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85E5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2(7.14)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D165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5(8.33)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0B5E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6(11.77)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FAD6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2(8.33)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9BD6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6FA83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97978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6797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220(83.97)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38EE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72(72.73)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D56E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26(92.86)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4616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55(91.67)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D86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45(88.23)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7E899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22(91.67)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1F399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52138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707D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CI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AD3A2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F8081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7C80D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7BA8C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77E8D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C85F6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B5EB9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0.506</w:t>
            </w:r>
          </w:p>
        </w:tc>
      </w:tr>
      <w:tr w14:paraId="5570E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BC1A4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A536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5(1.91)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3702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3(3.03)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F7D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0(0)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A1A7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2(3.33)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A9E3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0(0)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5CB6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0(0)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C715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6DFBC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143A9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8BC5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257(98.09)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D79F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96(96.97)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9CCC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28(100)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0E5B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58(96.67)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8A82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51(100)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8134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24(100)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6F39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14F41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C706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CHD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8E11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66CB2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3AE2D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F2363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93222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D1E9D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8D0F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0.402</w:t>
            </w:r>
          </w:p>
        </w:tc>
      </w:tr>
      <w:tr w14:paraId="62702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8271B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B16D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2(0.76)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600A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1(1.01)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CACE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1(3.57)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8E7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0(0)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E9A7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0(0)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C9D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0(0)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EAC7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4760B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D6CE3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ED64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260(99.24）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9419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98(98.99)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6219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27(96.43)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E3E2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60(100)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4BC5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51(100)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BCAF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24(100)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E02D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2DCAA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C145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DM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6011E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4EAB3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078D7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083C2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95C3B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DE7B0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CD97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0.944</w:t>
            </w:r>
          </w:p>
        </w:tc>
      </w:tr>
      <w:tr w14:paraId="059F8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6000F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E128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143(54.58)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4C25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58(58.59)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5308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14(50)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FC1F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32(53.33)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398D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26(50.98)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6696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14(58.33)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89FA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4C5B6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95F3C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CABC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119(45.42)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C64B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42(42.41)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8EBC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14(50)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CF77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28(46.67)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40BB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25(49.02)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CAF0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10(41.67)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F827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64DAD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C087B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Hashimoto Thyroiditis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ED8C1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C451F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8990A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01A80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3256C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A681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0.182</w:t>
            </w:r>
          </w:p>
        </w:tc>
      </w:tr>
      <w:tr w14:paraId="392C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1FA1A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2CAE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53(20.23)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F6FB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13(13.13)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63C9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7(25.00)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3089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13(21.67)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CC11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15(29.41)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DA78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5(20.83)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04C7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6C99F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ACAA3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151F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209(79.77)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D423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86(86.87)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A597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21(75.00)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59A4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47(78.33)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E3BD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36(70.59)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A15E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19(79.17)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697B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17051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491A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Concomitant therapy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EE936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CAC86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B0C0B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B6B23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06DE7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34A42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31BAA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</w:tr>
      <w:tr w14:paraId="1B069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7F49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GLP-1RA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47262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BED3A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20BF4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1CBE0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C7F6B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76C6A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DC72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0.211</w:t>
            </w:r>
          </w:p>
        </w:tc>
      </w:tr>
      <w:tr w14:paraId="7C600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C2935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3B0A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82(31.30)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4980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37(37.37)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B156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6(21.43)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0D40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17(28.33)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2755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12(23.53)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9BEE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10(41.67)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C2D2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2CA55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37D11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C022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180(68.70)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E654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62(62.63)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742E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22(78.57)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72DE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43(71.67)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4517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39(76.47)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574E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14(58.33)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A646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3A3D1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F204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SGLT-2i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A3AA6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1D96D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1BB2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FCBB4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34686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77E67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F6E1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0.213</w:t>
            </w:r>
          </w:p>
        </w:tc>
      </w:tr>
      <w:tr w14:paraId="55741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8104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FD29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49(18.70)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4F4D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25(25.25)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66E9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3(10.71)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059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10(16.67)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A9A5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6(11.77)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9A7E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5(20.83)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9919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52C33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2B6EE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63AF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213(81.30)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D67B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74(74.75)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20BE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25(89.29)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C3FC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50(83.33）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B0BE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45(88.23)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4FCC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19(79.17)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9D9A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4B46D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D55C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TZD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00950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92D4D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A3EB2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E6316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D725F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32236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E964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0.339</w:t>
            </w:r>
          </w:p>
        </w:tc>
      </w:tr>
      <w:tr w14:paraId="18A79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83DD4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E20A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7(2.67)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FA9E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5(5.05)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AA7F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1(3.57)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1303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1(1.67)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810E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0(0)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D33A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0(0)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A620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3A3F1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6C68E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5A2C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255(97.33)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4E46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94(94.95)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CDB6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27(96.43)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F9F2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59(98.33)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F2A3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51(100)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BE18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24(100)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3577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11151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1DBD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metformin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50E3E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0B944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2AC57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FDC5C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B0125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AC5B5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C1F3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0.367</w:t>
            </w:r>
          </w:p>
        </w:tc>
      </w:tr>
      <w:tr w14:paraId="41CC6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45960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FF41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81(30.92)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3F34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31(31.31)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16C9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7(25.00)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397A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23(38.33)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B196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16(31.37)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DED7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4(16.67)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0798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1B94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5C11D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517C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181(69.08)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FA49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68(68.69)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6031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21(75.00)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4BBC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37(61.67)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2483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35(68.63)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D8EF9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20(83.33)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4832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5681F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C516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insulin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5BF75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1660B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04085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E6006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A2D23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E16FC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FE68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0.135</w:t>
            </w:r>
          </w:p>
        </w:tc>
      </w:tr>
      <w:tr w14:paraId="1F409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2B66A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B976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20(7.63)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C654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11(11.11)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5634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4(14.29)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4412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3(5.00)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B12A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2(3.92)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5B6F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0(0)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1A3B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58FEE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410A8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AB2C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242(92.37)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612A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88(88.89)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291B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24(85.71)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9374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57(95.00)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7476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49(96.08)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A8FA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24(100)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02A5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6F0FF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768B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Euthyrox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18DDD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FC6CB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BE9C5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DC3BD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CC2C3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23478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EC86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0.010</w:t>
            </w:r>
          </w:p>
        </w:tc>
      </w:tr>
      <w:tr w14:paraId="44DFF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5E1A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B2D9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21(8.02）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90D6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2(2.02)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8D74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4(14.29)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039D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5(8.33)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0D66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9(17.65)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B81F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1(4.17)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0874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77453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7061B">
            <w:pPr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6E61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241（91.98）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F5EB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97(97.98)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6AB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24(85.71)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4242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55(91.67)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E7E0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42(82.35)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2DE4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23(95.83)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19259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096C9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B0B5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CAP(dB/m)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45CB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302.50(274.75,330.00)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B4EE9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295.00(276.00,311.50)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7557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287.50(264.25,324.50)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AAD0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324.00(294.00,340.50)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FA2C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310.50(279.75,339.50)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D3F0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303.50(261.00,337.75)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174E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0.168</w:t>
            </w:r>
          </w:p>
        </w:tc>
      </w:tr>
      <w:tr w14:paraId="61ECA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D102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LSM(kPa)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C199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6.00(4.70,7.58)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C058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5.50(4.25,7.20)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5536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5.45(4.05,7.33)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6A9C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6.10(4.55,7.55)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AC99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6.80(5.05,8.28)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B216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7.70(6.28,10.20)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733C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0.340</w:t>
            </w:r>
          </w:p>
        </w:tc>
      </w:tr>
      <w:tr w14:paraId="212EE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28A5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Height(cm)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E7E2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166.00(156.00,166.00)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7CFF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169.50(159.75,174.75)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D298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170.00(161.13,172.00)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C1ED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166.50(160.00,174.75)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4F9F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163.50(160.50,169.63)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7DC1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160.75(158.88,167.38)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5F9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0.240</w:t>
            </w:r>
          </w:p>
        </w:tc>
      </w:tr>
      <w:tr w14:paraId="0EC49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512C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BMI(kg/m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0F319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28.40(25.43,32.30)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2959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27.70(24.35,33.05)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E432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28.00(24.35,30.05)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6647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27.30(25.10,32.50)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90EF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29.85(28.43,34.53)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245B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28.40(26.18,30.85)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E99C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0.269</w:t>
            </w:r>
          </w:p>
        </w:tc>
      </w:tr>
      <w:tr w14:paraId="12509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E414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WHR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214A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0.94(0.90,0.98)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5A9D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0.92(0.90,0.99)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D501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0.96(0.87,1.00)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89FF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0.95(0.92,0.98)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E668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0.98(0.93,1.00)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B90D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0.92(0.89,0.95)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2A5D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0.538</w:t>
            </w:r>
          </w:p>
        </w:tc>
      </w:tr>
      <w:tr w14:paraId="0E511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4187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VFA(cm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4D43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125.35(94.50,163.13)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7D1B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115.10(91.05,159.95)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D9E5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123.55(73.33,161.78)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AB76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110.90(90.40,160.00)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118E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149.05(127.45,185.18)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45ED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124.25(107.35,162.13)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8725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0.247</w:t>
            </w:r>
          </w:p>
        </w:tc>
      </w:tr>
      <w:tr w14:paraId="4491F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EC41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waistline(cm)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BECD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94.62(89.37,107.12)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B09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91.27(86.23,106.87)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776B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94.29(86.66,102.78)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83E8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94.72(89.98,106.82)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254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104.22(93.74,109.19)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70AF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93.29(88.40,100.12)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4F17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0.573</w:t>
            </w:r>
          </w:p>
        </w:tc>
      </w:tr>
      <w:tr w14:paraId="37CEF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FFB0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AST(U/L)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D930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22.00(17.00,32.00)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4E94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22.00(16.00,31.50)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AD24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22.00(18.25,28.75)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4B36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21.00(18.50,32.00)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C166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25.50(19.25,43.50)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6211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17.50(15.25,28.50)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553B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0.903</w:t>
            </w:r>
          </w:p>
        </w:tc>
      </w:tr>
      <w:tr w14:paraId="4E66E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18B1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ALT(U/L)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3306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31.00(21.50,52.00)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CAB5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31.00(18.50,52.50)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76EE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28.00(24.25,51.25)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530F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33.00(26.50,46.00)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8144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44.50(24.00,66.75)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E76C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20.00(17.25,54.00)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AB61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0.646</w:t>
            </w:r>
          </w:p>
        </w:tc>
      </w:tr>
      <w:tr w14:paraId="4596C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C8B1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ALP(U/L)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CAF6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85.00(70.00,101.75)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06B5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81.00(66.00,96.00)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F66F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84.00(74.50,95.25)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7561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87.00(70.00,103.00)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BE1C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88.50(68.75,104.75)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2B94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103.50(74.00,116.25)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81CD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0.539</w:t>
            </w:r>
          </w:p>
        </w:tc>
      </w:tr>
      <w:tr w14:paraId="53DDE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100F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GGT(U/L)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926D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37.00(24.25,64.75)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F1F4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30.00(21.50,50.50)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3E82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38.00(21.50,69.75)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4A03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47.00(35.50,74.50)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546E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45.50(22.00,81.75)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C2C4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27.00(18.25,50.90)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C383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0.209</w:t>
            </w:r>
          </w:p>
        </w:tc>
      </w:tr>
      <w:tr w14:paraId="0115E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C7F8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TG(mmol/L)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26EC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1.60(1.10,2.65)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11C6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1.53(1.22,2.64)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A758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1.50(0.96,2.87)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041E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1.76(1.10,2.85)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8C96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1.90(0.92,2.77)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2472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1.41(1.21,2.23)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CD6C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0.942</w:t>
            </w:r>
          </w:p>
        </w:tc>
      </w:tr>
      <w:tr w14:paraId="5DE96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BF60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TC(mmol/L)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079F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4.95(4.30,5.55)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7D3E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4.99(4.35,5.38)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925E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5.14(4.49,5.58)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6293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4.66(4.13,5.30)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E6C8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5.07(4.53,5.92)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502E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4.47(3.42,5.94)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7A9D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0.474</w:t>
            </w:r>
          </w:p>
        </w:tc>
      </w:tr>
      <w:tr w14:paraId="63985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305D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HDL(mmol/L)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30AE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1.06(0.93,1.21)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5C15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1.23(1.13,1.39)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51CF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1.21(0.96,1.55)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7F84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1.13(0.99,1.29)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7303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1.13(1.10,1.45)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689E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1.07(0.97,1.37)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97B1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0.424</w:t>
            </w:r>
          </w:p>
        </w:tc>
      </w:tr>
      <w:tr w14:paraId="0AECD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A69F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LDL(mmol/L)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2DAD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2.84(2.39,3.39)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C498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2.91(2.40,3.25)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E21F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2.87(2.39,3.56)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F26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2.78(2.22,2.94)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9C52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3.23(2.46,3.70)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6A36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2.61(2.41,3.60)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9769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0.929</w:t>
            </w:r>
          </w:p>
        </w:tc>
      </w:tr>
      <w:tr w14:paraId="1A544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EF22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H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A1c%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3802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6.50(5.80,7.40)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197B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6.50(5.95,8.10)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2E46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6.50(5.78,7.00)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81929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6.50(5.75,7.85)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184E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6.45(5.73,6.68)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A3AB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6.25(5.38,7.05)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876D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0.371</w:t>
            </w:r>
          </w:p>
        </w:tc>
      </w:tr>
      <w:tr w14:paraId="28965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5929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FBG(mmol/L)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9D7B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6.23(5.35,7.91)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746B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6.22(5.23,7.95)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5D1D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6.48(5.60,7.61)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C0A2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6.93(5.44,8.73)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9190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5.66(5.04,6.83)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6537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6.29(5.24,9.22)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51D2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0.923</w:t>
            </w:r>
          </w:p>
        </w:tc>
      </w:tr>
      <w:tr w14:paraId="362BD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52EA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HOMA-IS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F5DE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0.32(0.22,0.52)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7500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0.34(0.23,0.54)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60C5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0.33(0.24,0.49)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E896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0.32(0.23,0.48)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65F6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0.29(0.21,0.59)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90129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0.24(0.17,0.36)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06D2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0.598</w:t>
            </w:r>
          </w:p>
        </w:tc>
      </w:tr>
      <w:tr w14:paraId="50838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AEDD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NFS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8D22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-30.00(-32.00,-28.00)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D2A4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-30.00(-32.00,-28.00)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AE49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-30.00(-31.00,-27.50)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0652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-30.00(-33.00,-29.50)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1A38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-30.00(-31.75,-28.00)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C116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-29.50(-35.00,-28.00)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B962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0.450</w:t>
            </w:r>
          </w:p>
        </w:tc>
      </w:tr>
      <w:tr w14:paraId="24696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13B7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FIB-4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4EF7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0.68(0.47,1.02)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2BD2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0.67(0.48,1.14)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90E9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0.78(0.64,1.16)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6C4C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0.69(0.53,0.91)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51E5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0.59(0.37,1.05)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E475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0.47(0.28,1.08)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3F19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0.247</w:t>
            </w:r>
          </w:p>
        </w:tc>
      </w:tr>
      <w:tr w14:paraId="31EBB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CDC5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FLI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42CD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67.00(37.25,90.00)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34E3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64.00(27.00,90.00)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874B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65.00(34.25,88.25)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FD40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73.00(43.50,90.00)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851B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80.00(62.75,95.75)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CC3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52.50(34.50,75.50)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B6D4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0.524</w:t>
            </w:r>
          </w:p>
        </w:tc>
      </w:tr>
      <w:tr w14:paraId="561B9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39750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FAST</w:t>
            </w:r>
          </w:p>
        </w:tc>
        <w:tc>
          <w:tcPr>
            <w:tcW w:w="22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D8AEB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-1.89(-2.68,-0.54)</w:t>
            </w:r>
          </w:p>
        </w:tc>
        <w:tc>
          <w:tcPr>
            <w:tcW w:w="22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FC374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-1.99(-2.80,-0.98)</w:t>
            </w:r>
          </w:p>
        </w:tc>
        <w:tc>
          <w:tcPr>
            <w:tcW w:w="22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9D45AA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-2.04(-2.65,-1.09)</w:t>
            </w:r>
          </w:p>
        </w:tc>
        <w:tc>
          <w:tcPr>
            <w:tcW w:w="22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67A12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-2.02(-2.33,-0.37)</w:t>
            </w:r>
          </w:p>
        </w:tc>
        <w:tc>
          <w:tcPr>
            <w:tcW w:w="22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9085F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-0.53(-2.61,0.08)</w:t>
            </w:r>
          </w:p>
        </w:tc>
        <w:tc>
          <w:tcPr>
            <w:tcW w:w="22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8921E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-2.04(-3.22,-0.53)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C9FE59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0.859</w:t>
            </w:r>
          </w:p>
        </w:tc>
      </w:tr>
      <w:tr w14:paraId="0FC44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9708CD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TCM syndrome scores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8C62CB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11.00(9.00,14.00)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013A05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11.00(9.00,14.00)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FF3AF04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11.50(10.00,14.00)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AB37B4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13.00(9.00,15.00)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9FE048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13.50(8.00,14.75)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38ADD8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10.00(9.00,11.75)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4EF704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0.510</w:t>
            </w:r>
          </w:p>
        </w:tc>
      </w:tr>
    </w:tbl>
    <w:p w14:paraId="006D7461">
      <w:pPr>
        <w:jc w:val="left"/>
        <w:rPr>
          <w:rFonts w:hint="default" w:ascii="Times New Roman" w:hAnsi="Times New Roman" w:cs="Times New Roman"/>
        </w:rPr>
      </w:pPr>
    </w:p>
    <w:p w14:paraId="40D85BEA">
      <w:pPr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23495</wp:posOffset>
                </wp:positionV>
                <wp:extent cx="10016490" cy="1170940"/>
                <wp:effectExtent l="0" t="0" r="381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6197" cy="1170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B3603">
                            <w:pPr>
                              <w:jc w:val="left"/>
                            </w:pPr>
                            <w:r>
                              <w:rPr>
                                <w:bCs/>
                                <w:shd w:val="clear" w:color="auto" w:fill="FFFFFF"/>
                              </w:rPr>
                              <w:t>CI, cerebral infarction; CHD, coronary heart disease; DM, Diabetes mellitus; BMl, body mass index; WHR, waist-to-hip ratio;VFA, Visceral fat area; ALT, Alanine aminotransferase; AST, Aspartate aminotransferase; ALP, Alkaline phosphatase; GGT, Gamma glutamyl transpeptidase; HbA1c, hemoglobin A1c; FIB-4, Fibrosis 4 Score; FLI, Fatty Liver Index; FAST, FibroScan</w:t>
                            </w:r>
                            <w:r>
                              <w:rPr>
                                <w:rFonts w:hint="eastAsia"/>
                                <w:bCs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bCs/>
                              </w:rPr>
                              <w:t xml:space="preserve">AST; NFS, NAFLD Fibrosis Score; FPG, Fasting plasma glucose; </w:t>
                            </w:r>
                            <w:r>
                              <w:rPr>
                                <w:bCs/>
                                <w:shd w:val="clear" w:color="auto" w:fill="FFFFFF"/>
                              </w:rPr>
                              <w:t>HOMA, Homeostasis model assessment</w:t>
                            </w:r>
                            <w:r>
                              <w:rPr>
                                <w:rFonts w:hint="eastAsia"/>
                                <w:bCs/>
                                <w:shd w:val="clear" w:color="auto" w:fill="FFFFFF"/>
                              </w:rPr>
                              <w:t>;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 xml:space="preserve"> GLP-1RA, </w:t>
                            </w:r>
                            <w:r>
                              <w:rPr>
                                <w:bCs/>
                              </w:rPr>
                              <w:t>Glucagonlike peptide-1 receptor agonist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 xml:space="preserve">; TZD, </w:t>
                            </w:r>
                            <w:r>
                              <w:rPr>
                                <w:bCs/>
                              </w:rPr>
                              <w:t>Thiazolidinedione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 xml:space="preserve">; </w:t>
                            </w:r>
                            <w:r>
                              <w:rPr>
                                <w:rFonts w:hint="eastAsia"/>
                                <w:bCs/>
                                <w:kern w:val="0"/>
                              </w:rPr>
                              <w:t xml:space="preserve">SGLT-2i, </w:t>
                            </w:r>
                            <w:r>
                              <w:rPr>
                                <w:bCs/>
                                <w:kern w:val="0"/>
                              </w:rPr>
                              <w:t>Sodium-glucose cotransporters-2 inhibitors</w:t>
                            </w:r>
                            <w:r>
                              <w:rPr>
                                <w:rFonts w:hint="eastAsia"/>
                                <w:bCs/>
                                <w:kern w:val="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pt;margin-top:1.85pt;height:92.2pt;width:788.7pt;z-index:251659264;mso-width-relative:page;mso-height-relative:page;" fillcolor="#FFFFFF [3201]" filled="t" stroked="f" coordsize="21600,21600" o:gfxdata="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pIJXLTAAAACAEA&#10;AA8AAAAAAAAAAQAgAAAAIgAAAGRycy9kb3ducmV2LnhtbFBLAQIUABQAAAAIAIdO4kD1soirWAIA&#10;AJ8EAAAOAAAAAAAAAAEAIAAAACI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0EB3603">
                      <w:pPr>
                        <w:jc w:val="left"/>
                      </w:pPr>
                      <w:r>
                        <w:rPr>
                          <w:bCs/>
                          <w:shd w:val="clear" w:color="auto" w:fill="FFFFFF"/>
                        </w:rPr>
                        <w:t>CI, cerebral infarction; CHD, coronary heart disease; DM, Diabetes mellitus; BMl, body mass index; WHR, waist-to-hip ratio;VFA, Visceral fat area; ALT, Alanine aminotransferase; AST, Aspartate aminotransferase; ALP, Alkaline phosphatase; GGT, Gamma glutamyl transpeptidase; HbA1c, hemoglobin A1c; FIB-4, Fibrosis 4 Score; FLI, Fatty Liver Index; FAST, FibroScan</w:t>
                      </w:r>
                      <w:r>
                        <w:rPr>
                          <w:rFonts w:hint="eastAsia"/>
                          <w:bCs/>
                          <w:shd w:val="clear" w:color="auto" w:fill="FFFFFF"/>
                        </w:rPr>
                        <w:t>-</w:t>
                      </w:r>
                      <w:r>
                        <w:rPr>
                          <w:bCs/>
                        </w:rPr>
                        <w:t xml:space="preserve">AST; NFS, NAFLD Fibrosis Score; FPG, Fasting plasma glucose; </w:t>
                      </w:r>
                      <w:r>
                        <w:rPr>
                          <w:bCs/>
                          <w:shd w:val="clear" w:color="auto" w:fill="FFFFFF"/>
                        </w:rPr>
                        <w:t>HOMA, Homeostasis model assessment</w:t>
                      </w:r>
                      <w:r>
                        <w:rPr>
                          <w:rFonts w:hint="eastAsia"/>
                          <w:bCs/>
                          <w:shd w:val="clear" w:color="auto" w:fill="FFFFFF"/>
                        </w:rPr>
                        <w:t>;</w:t>
                      </w:r>
                      <w:r>
                        <w:rPr>
                          <w:rFonts w:hint="eastAsia"/>
                          <w:bCs/>
                        </w:rPr>
                        <w:t xml:space="preserve"> GLP-1RA, </w:t>
                      </w:r>
                      <w:r>
                        <w:rPr>
                          <w:bCs/>
                        </w:rPr>
                        <w:t>Glucagonlike peptide-1 receptor agonist</w:t>
                      </w:r>
                      <w:r>
                        <w:rPr>
                          <w:rFonts w:hint="eastAsia"/>
                          <w:bCs/>
                        </w:rPr>
                        <w:t xml:space="preserve">; TZD, </w:t>
                      </w:r>
                      <w:r>
                        <w:rPr>
                          <w:bCs/>
                        </w:rPr>
                        <w:t>Thiazolidinedione</w:t>
                      </w:r>
                      <w:r>
                        <w:rPr>
                          <w:rFonts w:hint="eastAsia"/>
                          <w:bCs/>
                        </w:rPr>
                        <w:t xml:space="preserve">; </w:t>
                      </w:r>
                      <w:r>
                        <w:rPr>
                          <w:rFonts w:hint="eastAsia"/>
                          <w:bCs/>
                          <w:kern w:val="0"/>
                        </w:rPr>
                        <w:t xml:space="preserve">SGLT-2i, </w:t>
                      </w:r>
                      <w:r>
                        <w:rPr>
                          <w:bCs/>
                          <w:kern w:val="0"/>
                        </w:rPr>
                        <w:t>Sodium-glucose cotransporters-2 inhibitors</w:t>
                      </w:r>
                      <w:r>
                        <w:rPr>
                          <w:rFonts w:hint="eastAsia"/>
                          <w:bCs/>
                          <w:kern w:val="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2C9F8C7">
      <w:pPr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 w14:paraId="7A3A1A60">
      <w:pPr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 w14:paraId="50A1B3F6">
      <w:pPr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380A0851">
      <w:pP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Additional file </w:t>
      </w:r>
      <w:r>
        <w:rPr>
          <w:rFonts w:hint="eastAsia" w:cs="Times New Roman"/>
          <w:b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 xml:space="preserve">Comparisons of body composition and serum biomarkers in the patient exposure cohort (different XHP treatment duration cohorts) with those in the referent cohort before and after treatment are shown. </w:t>
      </w:r>
    </w:p>
    <w:tbl>
      <w:tblPr>
        <w:tblStyle w:val="5"/>
        <w:tblW w:w="1526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90"/>
        <w:gridCol w:w="2123"/>
        <w:gridCol w:w="2123"/>
        <w:gridCol w:w="2129"/>
        <w:gridCol w:w="2233"/>
        <w:gridCol w:w="2123"/>
        <w:gridCol w:w="990"/>
        <w:gridCol w:w="990"/>
      </w:tblGrid>
      <w:tr w14:paraId="5778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ED39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E7855E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D39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</w:t>
            </w:r>
            <w:r>
              <w:rPr>
                <w:rStyle w:val="13"/>
                <w:rFonts w:eastAsia="宋体"/>
                <w:lang w:val="en-US" w:eastAsia="zh-CN" w:bidi="ar"/>
              </w:rPr>
              <w:t>t cohort</w:t>
            </w:r>
          </w:p>
        </w:tc>
        <w:tc>
          <w:tcPr>
            <w:tcW w:w="21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574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weeks of continuous use of XHP cohort</w:t>
            </w:r>
          </w:p>
        </w:tc>
        <w:tc>
          <w:tcPr>
            <w:tcW w:w="212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A18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weeks of continuous use of XHP cohort</w:t>
            </w:r>
          </w:p>
        </w:tc>
        <w:tc>
          <w:tcPr>
            <w:tcW w:w="22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BCE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 weeks of continuous use of XHP cohort</w:t>
            </w:r>
          </w:p>
        </w:tc>
        <w:tc>
          <w:tcPr>
            <w:tcW w:w="21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4A2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≥16 weeks of continuous use of XHP cohort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D4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Stats.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14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</w:tr>
      <w:tr w14:paraId="03F1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8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CAP(dB/m)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F4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0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296.26±29.01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6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293.13±38.09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A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310.41±37.15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3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312.12±31.60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6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312.67±43.20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9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A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</w:tr>
      <w:tr w14:paraId="370A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72D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A1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6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291.34±36.50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6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262.25±41.34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6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287.50±35.36</w:t>
            </w:r>
            <w:r>
              <w:rPr>
                <w:rStyle w:val="14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2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287.18±37.56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5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270.00±21.85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D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4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</w:t>
            </w:r>
          </w:p>
        </w:tc>
      </w:tr>
      <w:tr w14:paraId="6A57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8FE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0D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Stats.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C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6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8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0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4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EAB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A57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E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36F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3B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6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F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4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&lt;0.001</w:t>
            </w:r>
            <w:r>
              <w:rPr>
                <w:rStyle w:val="15"/>
                <w:rFonts w:eastAsia="宋体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F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A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125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0EB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C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2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LSM(kPa)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C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7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5.50(4.10,6.60)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F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5.60(4.05,7.85)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1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6.05(4.48,7.53)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6.50(4.48,7.53)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A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8.15(6.85,10.20)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D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3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276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58D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6C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D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5.50(4.70,6.60)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A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5.30(3.38,6.43)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8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5.15(4.05,7.30)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8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6.60(5.30,8.55)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A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6.55(4.93,8.88)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F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C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0.501</w:t>
            </w:r>
          </w:p>
        </w:tc>
      </w:tr>
      <w:tr w14:paraId="2DCB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959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64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Stats.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B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3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B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7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7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C3D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78D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AD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F14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70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E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3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B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5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4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263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74D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6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7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BMI(kg/m</w:t>
            </w:r>
            <w:r>
              <w:rPr>
                <w:rStyle w:val="16"/>
                <w:rFonts w:eastAsia="宋体"/>
                <w:lang w:val="en-US" w:eastAsia="zh-CN" w:bidi="ar"/>
              </w:rPr>
              <w:t>2</w:t>
            </w:r>
            <w:r>
              <w:rPr>
                <w:rStyle w:val="13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1B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C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27.10(24.30,32.10)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1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26.35(23.93,32.43)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2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26.70(25.10,28.78)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B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29.90(27.45,35.00)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F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28.40(25.15,29.58)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5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7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</w:tr>
      <w:tr w14:paraId="2C02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04A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C9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B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26.80(24.80,32.70)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3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24.75(22.93,31.55)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C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26.05(24.80,32.70)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C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30.30(26.40,33.40)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*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2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26.20(24.78,27.93)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4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</w:tr>
      <w:tr w14:paraId="05B3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056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7B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Stats.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6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5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B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E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E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5E3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915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DA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DE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E2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0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1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5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&lt;0.001</w:t>
            </w:r>
            <w:r>
              <w:rPr>
                <w:rStyle w:val="15"/>
                <w:rFonts w:eastAsia="宋体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F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&lt;0.001</w:t>
            </w:r>
            <w:r>
              <w:rPr>
                <w:rStyle w:val="15"/>
                <w:rFonts w:eastAsia="宋体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2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448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012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6A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4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0C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4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0.94±0.06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0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0.93±0.06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3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0.95±0.04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C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0.96±0.06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1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0.91±0.04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3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E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0.463</w:t>
            </w:r>
          </w:p>
        </w:tc>
      </w:tr>
      <w:tr w14:paraId="0C0B6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F8E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69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6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0.94±0.06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A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0.91±0.08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3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0.92±0.04</w:t>
            </w:r>
            <w:r>
              <w:rPr>
                <w:rStyle w:val="14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F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0.95±0.05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F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0.91±0.02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0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1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</w:tr>
      <w:tr w14:paraId="2235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C98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96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Stats.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E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3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B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3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7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F10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591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B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ACB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C2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F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5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1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&lt;0.001</w:t>
            </w:r>
            <w:r>
              <w:rPr>
                <w:rStyle w:val="15"/>
                <w:rFonts w:eastAsia="宋体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4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&lt;0.001</w:t>
            </w:r>
            <w:r>
              <w:rPr>
                <w:rStyle w:val="15"/>
                <w:rFonts w:eastAsia="宋体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7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0.604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76E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E0D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C1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F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VFA(cm</w:t>
            </w:r>
            <w:r>
              <w:rPr>
                <w:rStyle w:val="16"/>
                <w:rFonts w:eastAsia="宋体"/>
                <w:lang w:val="en-US" w:eastAsia="zh-CN" w:bidi="ar"/>
              </w:rPr>
              <w:t>2</w:t>
            </w:r>
            <w:r>
              <w:rPr>
                <w:rStyle w:val="13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87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6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115.10(90.70,159.00)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A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95.15(73.33,148.30)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1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109.05(90.75,142.45)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B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141.30(124.85,195.80)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B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115.50(95.50,149.08)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8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3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</w:tr>
      <w:tr w14:paraId="4B36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D3B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6B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B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109.70(80.50,151.90)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F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86.85(63.10,139.38)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2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97.90(73.60,126.90)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F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135.10(120.80,163.15)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A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102.85(93.65,127.98)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D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0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</w:t>
            </w:r>
          </w:p>
        </w:tc>
      </w:tr>
      <w:tr w14:paraId="3DC3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598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9C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Stats.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2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4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D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1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2C8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30E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0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833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EA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5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A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6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&lt;0.001</w:t>
            </w:r>
            <w:r>
              <w:rPr>
                <w:rStyle w:val="15"/>
                <w:rFonts w:eastAsia="宋体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2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&lt;0.001</w:t>
            </w:r>
            <w:r>
              <w:rPr>
                <w:rStyle w:val="15"/>
                <w:rFonts w:eastAsia="宋体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CC1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F6D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A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F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38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7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-31.00(-32.00,-28.00)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9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-30.50(-31.75,27.00)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F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-30.00(-33.25,-30.00)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-30.00(-31.50,-28.50)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C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-29.00(-32.00,-27.50)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9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7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A58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816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4C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F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-29.00(-30.00,-27.00)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D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-28.50(-29.75,-28.00)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E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-29.00(-31.00,-28.00)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D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-31.00(-32.00,-28.00)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B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-29.00(-31.00,-24.00)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1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E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0.785</w:t>
            </w:r>
          </w:p>
        </w:tc>
      </w:tr>
      <w:tr w14:paraId="3202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C92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43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Stats.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E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A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A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1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-1.604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00B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B8D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6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0D1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82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5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F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E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F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A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8B3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9B3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1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F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FIB-4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04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4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0.67(0.44,1.27)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F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0.93(0.75,1.16)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8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0.68(0.55,0.95)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B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0.75(0.35,0.99)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7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1.39(0.78,2.14)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1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8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0.785</w:t>
            </w:r>
          </w:p>
        </w:tc>
      </w:tr>
      <w:tr w14:paraId="7260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5FA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2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7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0.73(0.51,1.26)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5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0.95(0.70,1.46)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A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0.67(0.51,0.95)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2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0.61(0.35,1.09)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9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1.26(0.92,1.62)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6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9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</w:tr>
      <w:tr w14:paraId="0C27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6E3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1A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Stats.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4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C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0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C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6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88F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59C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6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C06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2E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eastAsia="宋体"/>
                <w:lang w:val="en-US" w:eastAsia="zh-CN" w:bidi="ar"/>
              </w:rPr>
              <w:t>P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4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D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E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2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976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8F1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8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4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68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D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65.00(27.00,90.00)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7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66.50(22.25,89.00)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9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69.00(44.25,80.50)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A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88.00(49.00,96.50)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7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39.00(32.25,70.00)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C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E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</w:tr>
      <w:tr w14:paraId="297F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FEF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E4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3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60.00(28.00,87.00)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3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47.50(17.00,89.00)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3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43.50(29.00,73.75)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8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77.00(55.00,90.00)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7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35.50(17.00,54.25)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6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2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C0FD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9CA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D4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Stats.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A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3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0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F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4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-1.778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0A4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664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A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367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85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B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2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8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&lt;0.001</w:t>
            </w:r>
            <w:r>
              <w:rPr>
                <w:rStyle w:val="15"/>
                <w:rFonts w:eastAsia="宋体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E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6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1E0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211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26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D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3D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3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-2.10±1.32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A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-1.93±0.74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9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-1.67±1.34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D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-1.51±1.89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B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-1.55±1.32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8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B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</w:t>
            </w:r>
          </w:p>
        </w:tc>
      </w:tr>
      <w:tr w14:paraId="5A9D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185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CD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C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-2.47±1.26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F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-2.49±1.04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4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-2.76±1.41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4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-2.55±2.21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0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-2.49±0.94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E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2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</w:tr>
      <w:tr w14:paraId="2D8E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DCC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F3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60607"/>
                <w:kern w:val="0"/>
                <w:sz w:val="21"/>
                <w:szCs w:val="21"/>
                <w:u w:val="none"/>
                <w:lang w:val="en-US" w:eastAsia="zh-CN" w:bidi="ar"/>
              </w:rPr>
              <w:t>Stats.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5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3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C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4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6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D88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22D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7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8143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640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5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28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A7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&lt;0.001</w:t>
            </w:r>
            <w:r>
              <w:rPr>
                <w:rStyle w:val="15"/>
                <w:rFonts w:eastAsia="宋体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F5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71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3B96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560B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719DD2A">
      <w:pPr>
        <w:rPr>
          <w:rFonts w:hint="eastAsia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*</w:t>
      </w:r>
      <w:r>
        <w:rPr>
          <w:rFonts w:hint="eastAsia" w:cs="Times New Roman"/>
          <w:b w:val="0"/>
          <w:bCs/>
          <w:color w:val="00000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Compared with the non-exposed group: P &lt; 0.05</w:t>
      </w:r>
      <w:r>
        <w:rPr>
          <w:rFonts w:hint="eastAsia" w:cs="Times New Roman"/>
          <w:b w:val="0"/>
          <w:bCs/>
          <w:color w:val="000000"/>
          <w:sz w:val="24"/>
          <w:szCs w:val="24"/>
          <w:lang w:val="en-US" w:eastAsia="zh-CN"/>
        </w:rPr>
        <w:t>.</w:t>
      </w:r>
    </w:p>
    <w:p w14:paraId="155D26B5">
      <w:pPr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 w14:paraId="09E1B4D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 w14:paraId="3566210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Additional file </w:t>
      </w:r>
      <w:r>
        <w:rPr>
          <w:rFonts w:hint="eastAsia" w:cs="Times New Roman"/>
          <w:b/>
          <w:color w:val="00000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Employ the </w:t>
      </w:r>
      <w:r>
        <w:rPr>
          <w:rFonts w:hint="default" w:ascii="Times New Roman" w:hAnsi="Times New Roman" w:cs="Times New Roman"/>
          <w:sz w:val="24"/>
        </w:rPr>
        <w:t>Directed Acyclic Graph (</w:t>
      </w:r>
      <w:r>
        <w:rPr>
          <w:rFonts w:hint="default" w:ascii="Times New Roman" w:hAnsi="Times New Roman" w:cs="Times New Roman"/>
          <w:sz w:val="24"/>
          <w:szCs w:val="24"/>
        </w:rPr>
        <w:t>DAG) model to screen the independent variables.</w:t>
      </w:r>
    </w:p>
    <w:p w14:paraId="2A0D0B37">
      <w:pPr>
        <w:jc w:val="center"/>
        <w:rPr>
          <w:rFonts w:hint="default" w:ascii="Times New Roman" w:hAnsi="Times New Roman" w:cs="Times New Roman"/>
        </w:rPr>
      </w:pPr>
      <w:r>
        <w:drawing>
          <wp:inline distT="0" distB="0" distL="114300" distR="114300">
            <wp:extent cx="7686040" cy="5217795"/>
            <wp:effectExtent l="0" t="0" r="10160" b="19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6040" cy="521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7DE8A">
      <w:pPr>
        <w:rPr>
          <w:rFonts w:hint="default" w:ascii="Times New Roman" w:hAnsi="Times New Roman" w:cs="Times New Roman"/>
          <w:bCs/>
          <w:shd w:val="clear" w:color="auto" w:fill="FFFFFF"/>
        </w:rPr>
      </w:pPr>
      <w:r>
        <w:rPr>
          <w:rFonts w:hint="default" w:ascii="Times New Roman" w:hAnsi="Times New Roman" w:cs="Times New Roman"/>
          <w:bCs/>
          <w:shd w:val="clear" w:color="auto" w:fill="FFFFFF"/>
        </w:rPr>
        <w:br w:type="page"/>
      </w:r>
    </w:p>
    <w:p w14:paraId="0CB0CA2C">
      <w:pPr>
        <w:rPr>
          <w:rFonts w:hint="default" w:ascii="Times New Roman" w:hAnsi="Times New Roman" w:cs="Times New Roman"/>
          <w:bCs/>
          <w:shd w:val="clear" w:color="auto" w:fill="FFFFFF"/>
        </w:rPr>
        <w:sectPr>
          <w:pgSz w:w="16340" w:h="12240" w:orient="landscape"/>
          <w:pgMar w:top="1803" w:right="306" w:bottom="1803" w:left="306" w:header="720" w:footer="720" w:gutter="0"/>
          <w:cols w:space="0" w:num="1"/>
          <w:rtlGutter w:val="0"/>
          <w:docGrid w:type="lines" w:linePitch="319" w:charSpace="0"/>
        </w:sectPr>
      </w:pPr>
    </w:p>
    <w:p w14:paraId="72C2CE67">
      <w:pPr>
        <w:rPr>
          <w:rFonts w:hint="eastAsia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Additional file </w:t>
      </w:r>
      <w:r>
        <w:rPr>
          <w:rFonts w:hint="eastAsia" w:cs="Times New Roman"/>
          <w:b/>
          <w:color w:val="00000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Change-in-Effects method CIE (Change-in-Estimate)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 xml:space="preserve"> analysis results.</w:t>
      </w:r>
    </w:p>
    <w:p w14:paraId="5FFF3FCD">
      <w:pPr>
        <w:rPr>
          <w:rFonts w:hint="default" w:cs="Times New Roman"/>
          <w:sz w:val="24"/>
          <w:szCs w:val="24"/>
          <w:highlight w:val="none"/>
          <w:lang w:val="en-US" w:eastAsia="zh-CN"/>
        </w:rPr>
      </w:pPr>
    </w:p>
    <w:tbl>
      <w:tblPr>
        <w:tblStyle w:val="5"/>
        <w:tblW w:w="1539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871"/>
        <w:gridCol w:w="870"/>
        <w:gridCol w:w="902"/>
        <w:gridCol w:w="881"/>
        <w:gridCol w:w="925"/>
        <w:gridCol w:w="902"/>
        <w:gridCol w:w="935"/>
        <w:gridCol w:w="934"/>
        <w:gridCol w:w="838"/>
        <w:gridCol w:w="859"/>
        <w:gridCol w:w="953"/>
        <w:gridCol w:w="733"/>
        <w:gridCol w:w="794"/>
        <w:gridCol w:w="794"/>
        <w:gridCol w:w="794"/>
        <w:gridCol w:w="794"/>
      </w:tblGrid>
      <w:tr w14:paraId="34244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14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313316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Characteristic</w:t>
            </w:r>
          </w:p>
        </w:tc>
        <w:tc>
          <w:tcPr>
            <w:tcW w:w="871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9881E7C"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st round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5487DD5"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nd round</w:t>
            </w:r>
          </w:p>
        </w:tc>
        <w:tc>
          <w:tcPr>
            <w:tcW w:w="902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53F7A7E"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rd round</w:t>
            </w:r>
          </w:p>
        </w:tc>
        <w:tc>
          <w:tcPr>
            <w:tcW w:w="881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ECAF468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th round</w:t>
            </w:r>
          </w:p>
        </w:tc>
        <w:tc>
          <w:tcPr>
            <w:tcW w:w="925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E6961F2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th round</w:t>
            </w:r>
          </w:p>
        </w:tc>
        <w:tc>
          <w:tcPr>
            <w:tcW w:w="902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BF7FCAB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th round </w:t>
            </w:r>
          </w:p>
        </w:tc>
        <w:tc>
          <w:tcPr>
            <w:tcW w:w="935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E2B9CEF"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th round</w:t>
            </w:r>
          </w:p>
        </w:tc>
        <w:tc>
          <w:tcPr>
            <w:tcW w:w="934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CFDBFC5"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th round</w:t>
            </w:r>
          </w:p>
        </w:tc>
        <w:tc>
          <w:tcPr>
            <w:tcW w:w="838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851B2F6"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th round</w:t>
            </w:r>
          </w:p>
        </w:tc>
        <w:tc>
          <w:tcPr>
            <w:tcW w:w="859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616D81C"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th round</w:t>
            </w:r>
          </w:p>
        </w:tc>
        <w:tc>
          <w:tcPr>
            <w:tcW w:w="953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CAF1834"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th round</w:t>
            </w:r>
          </w:p>
        </w:tc>
        <w:tc>
          <w:tcPr>
            <w:tcW w:w="733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4BD1312"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th round</w:t>
            </w:r>
          </w:p>
        </w:tc>
        <w:tc>
          <w:tcPr>
            <w:tcW w:w="794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92215FE"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th round</w:t>
            </w:r>
          </w:p>
        </w:tc>
        <w:tc>
          <w:tcPr>
            <w:tcW w:w="794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30D7F82"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th round</w:t>
            </w:r>
          </w:p>
        </w:tc>
        <w:tc>
          <w:tcPr>
            <w:tcW w:w="794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EA27DA5"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th round</w:t>
            </w:r>
          </w:p>
        </w:tc>
        <w:tc>
          <w:tcPr>
            <w:tcW w:w="794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AF62D1E"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th round</w:t>
            </w:r>
          </w:p>
        </w:tc>
      </w:tr>
      <w:tr w14:paraId="527EE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1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C0FCC6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Age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9B93E00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5.416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7DF4946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5.439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4628A2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5.432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B774130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5.486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BB4E68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5.463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2B12943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9BD925A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C399735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1B66F4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7B0B679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2A9197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4F06C69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9677121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929088B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00F090E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8D4AFC5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6E4C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9517A"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ex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F0D45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5.839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84CB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5.752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7C5E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5.771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AC90C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5.770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6C9EA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5.742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F2141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5.732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A8B6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5.857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7A9E0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5.754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B453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5.777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EDF0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5.437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DD34D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68B03"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3EE67"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F6321"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16658"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30F2B"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7F07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8C1E5"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CI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801B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5.942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FEB20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5.933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87C9F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5.891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66B5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5.931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34462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5.925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7C4F1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5.853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2C329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5.859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97043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5.811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48E90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5.911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1E48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5.787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B5D61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5.769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F621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5.765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7989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5.581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F8784"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50803"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DAE05"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9846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B92A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cy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Hypertension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AE0B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4.957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1C554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4.923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A215F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4.771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629A5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4.785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1B4BE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4.754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86DA2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4.583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3BEE3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4.617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43019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4.797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DB479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4.875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5BD2D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4.841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0970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5.007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A6F4A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5.001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8890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4.968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E5142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4.898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3C15B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4.838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4D1CB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4.560</w:t>
            </w:r>
          </w:p>
        </w:tc>
      </w:tr>
      <w:tr w14:paraId="69B65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4371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cy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CHD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2F66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5.366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EF654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5.370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A42A1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5.378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43234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5.411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25E6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5.408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DA240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5.284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88292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5.370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DAF50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5.239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65964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5.334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2B0FF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5.212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94D5D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5.004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8379A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EF41B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4.908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8751A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5.054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07F41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4.869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BED2C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4.575</w:t>
            </w:r>
          </w:p>
        </w:tc>
      </w:tr>
      <w:tr w14:paraId="084CB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737F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DM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D98A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5.553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30C2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5.552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13971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5.581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1C6D3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D54B5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87BB3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FBE01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2D85D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5A041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CA596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C56F2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3F8D1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0034B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BBE9C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05801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6F807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53C44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195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Hashimoto Thyroiditis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450F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5.575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8128E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5.600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CBAAF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5.602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8BFD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5.634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4E2DB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5.634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090FF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5.529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312A0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B7EEC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2A230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1530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A84DC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AF015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6E76B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3351F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6FCF1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76CC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8F1D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8330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GLP-1RA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9E6DB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4.840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1DD05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4.844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37AA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4.851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80049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4.936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AD46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4.965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874BA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4.896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8B261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4.879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8F880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4.699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4AC5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4.765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AE353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4.825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80270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4.767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92BE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4.799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9C1A2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4.935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104FE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5.193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A3EAC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5.077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D31AF"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CEB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7F7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SGLT-2i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6D54A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5.507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4E0C9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5.542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594F6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A5469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E38CF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7D671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C079A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E3911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49CBB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A7BA1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9B89C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98B3F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9A51B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7EE34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B8088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BD11D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15035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E764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TZD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95213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5.588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7F1A3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5.592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C4B75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4.876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C93CB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5.647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FB5B1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5.632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BEC7E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5.522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B293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5.612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89451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5.631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F6A3E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6C65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CFB9E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843E4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0972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6197D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17D21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2340C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F5CC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83A2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metformin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D645F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5.231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B6775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5.276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A49EE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4.723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165D0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5.307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593EA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5.321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ED1D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5.154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71203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5.198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6C9F1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5.338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0735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5.415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4698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5.310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9A91D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5.304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51825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5.288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9218D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5.215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B79FD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5.461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4DB9A"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B975D"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C2D1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5E34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Euthyrox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0CC11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5.540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00B5A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26863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E356B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30D27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767A9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16D82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35B0D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44EEF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D1768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D557F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2F731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B415A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E70EA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83FE9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B2AC2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7416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17E1D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insulin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820F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5.212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B834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5.249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F4F1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4.710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D7BB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5.328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139B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5.332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DC42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5.190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FC66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5.294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E7E3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5.151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3591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5.190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A3A0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5.165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B181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5.038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7D5D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5.003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C6AC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4.836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9E86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4.720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2952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4.472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820C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4.350</w:t>
            </w:r>
          </w:p>
        </w:tc>
      </w:tr>
      <w:tr w14:paraId="0A333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A45EF"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TCM syndrome scores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42FAC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  <w:t>5.500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FF163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5.528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44645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4.844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2F783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5.571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4E298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85C80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A2822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1BE16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0CD27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6AB73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31848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9A3BF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674CD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CD8FE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3D049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5053C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083B5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73C1C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HOMA-IS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C50FF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5.258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EBA3D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5.402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BCFCD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4.897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AB579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5.188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60B4B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5.217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4ECD4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5.116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DC24C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5.150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AC22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5.030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DD8BC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5.079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F7F65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5.010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AB8F3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5.227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60E19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5.198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E39E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4.756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3724A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4.906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4D547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4.838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FB7DC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4.353</w:t>
            </w:r>
          </w:p>
        </w:tc>
      </w:tr>
      <w:tr w14:paraId="3F91E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C8078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NFS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FFDDA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5.885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7AB8F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5.870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24A14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5.085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2BA30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5.922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16495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5.892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FF5DA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5.761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D6D3D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5.815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7F2B5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5.814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CC743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5.920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E8430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4.888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637F0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5.003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FF4CB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4.519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11841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4.486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3380D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4.620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04504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4.548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331E6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4.214</w:t>
            </w:r>
          </w:p>
        </w:tc>
      </w:tr>
      <w:tr w14:paraId="1DE2A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24006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FIB-4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23E03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5.159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52789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5.193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A09FA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4.707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56A56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5.241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62B1C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5.192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118C6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5.299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02C22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5.363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1463D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5.390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B22F4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5.480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10EDE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96996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EC6F7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348D4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D4393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2182A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02655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74D8D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1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856D79A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FLI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CBE8160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5.681</w:t>
            </w:r>
          </w:p>
        </w:tc>
        <w:tc>
          <w:tcPr>
            <w:tcW w:w="87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A96CBE4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5.678</w:t>
            </w:r>
          </w:p>
        </w:tc>
        <w:tc>
          <w:tcPr>
            <w:tcW w:w="90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1F547B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4.840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62B7F11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5.749</w:t>
            </w:r>
          </w:p>
        </w:tc>
        <w:tc>
          <w:tcPr>
            <w:tcW w:w="92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A797B2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5.708</w:t>
            </w:r>
          </w:p>
        </w:tc>
        <w:tc>
          <w:tcPr>
            <w:tcW w:w="90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1F53336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5.500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F98F54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5.545</w:t>
            </w: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44B36D1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836B958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0294789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4EEC389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881CC3F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2FE7DE9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677F4A4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F7A95AA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879D8D7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35250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1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5B61AF8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FAST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429F0E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5.001</w:t>
            </w:r>
          </w:p>
        </w:tc>
        <w:tc>
          <w:tcPr>
            <w:tcW w:w="87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7B2C8D5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4.992</w:t>
            </w:r>
          </w:p>
        </w:tc>
        <w:tc>
          <w:tcPr>
            <w:tcW w:w="90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1E4EBCD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4.600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F3A7B1B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5.009</w:t>
            </w:r>
          </w:p>
        </w:tc>
        <w:tc>
          <w:tcPr>
            <w:tcW w:w="92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2AAD851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4.985</w:t>
            </w:r>
          </w:p>
        </w:tc>
        <w:tc>
          <w:tcPr>
            <w:tcW w:w="90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253774F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4.995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9216A4A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5.007</w:t>
            </w: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7BE23D8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5.274</w:t>
            </w: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FB41007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5.345</w:t>
            </w: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29F088A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5.371</w:t>
            </w: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ED0D0ED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5.412</w:t>
            </w: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3B176A8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BF74AAA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66E3BA4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2F73F8B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69AEA52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51B3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5841FE6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LSM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81288D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4.845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7C66F6A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4.826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F2D45B0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4.454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CC0ED30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4.864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9BE9F49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4.848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4E31639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4.852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3112B94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4.909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34746C9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5.060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2A4D9186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5.136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563385D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5.031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7812D76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5.075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2FA721C">
            <w:pPr>
              <w:widowControl/>
              <w:jc w:val="left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5.333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0B58805F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BFF1CDC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E08A93C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6AE941A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04032EF5">
      <w:pPr>
        <w:jc w:val="left"/>
        <w:rPr>
          <w:rFonts w:hint="default" w:ascii="Times New Roman" w:hAnsi="Times New Roman" w:cs="Times New Roman"/>
        </w:rPr>
      </w:pPr>
    </w:p>
    <w:sectPr>
      <w:pgSz w:w="16340" w:h="12240" w:orient="landscape"/>
      <w:pgMar w:top="1803" w:right="306" w:bottom="1803" w:left="306" w:header="720" w:footer="720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NzBmODU4OGUwNmI3OGZhMTQxZDc2OTNiNWM2OGIifQ=="/>
  </w:docVars>
  <w:rsids>
    <w:rsidRoot w:val="00172A27"/>
    <w:rsid w:val="000E11B6"/>
    <w:rsid w:val="00172A27"/>
    <w:rsid w:val="002908DF"/>
    <w:rsid w:val="002B4E15"/>
    <w:rsid w:val="00311A2F"/>
    <w:rsid w:val="003936F4"/>
    <w:rsid w:val="005F1112"/>
    <w:rsid w:val="00707829"/>
    <w:rsid w:val="007B5BE0"/>
    <w:rsid w:val="00850268"/>
    <w:rsid w:val="008D2755"/>
    <w:rsid w:val="00BD07D9"/>
    <w:rsid w:val="00D9561F"/>
    <w:rsid w:val="00DC2072"/>
    <w:rsid w:val="00EB6876"/>
    <w:rsid w:val="00F25A64"/>
    <w:rsid w:val="1EAD1FE0"/>
    <w:rsid w:val="1FD62D47"/>
    <w:rsid w:val="245D14FB"/>
    <w:rsid w:val="2B266018"/>
    <w:rsid w:val="32FF1AA9"/>
    <w:rsid w:val="337549F8"/>
    <w:rsid w:val="34C06810"/>
    <w:rsid w:val="36D6690A"/>
    <w:rsid w:val="385232DD"/>
    <w:rsid w:val="386E2109"/>
    <w:rsid w:val="41C640A0"/>
    <w:rsid w:val="438B309E"/>
    <w:rsid w:val="43D502D5"/>
    <w:rsid w:val="44EF1823"/>
    <w:rsid w:val="495851E9"/>
    <w:rsid w:val="4F443C1B"/>
    <w:rsid w:val="59081855"/>
    <w:rsid w:val="5CAA749B"/>
    <w:rsid w:val="6F80275B"/>
    <w:rsid w:val="707E2495"/>
    <w:rsid w:val="71051F32"/>
    <w:rsid w:val="724C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4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15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9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  <w:vertAlign w:val="superscript"/>
    </w:rPr>
  </w:style>
  <w:style w:type="character" w:customStyle="1" w:styleId="17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18">
    <w:name w:val="font61"/>
    <w:basedOn w:val="7"/>
    <w:qFormat/>
    <w:uiPriority w:val="0"/>
    <w:rPr>
      <w:rFonts w:hint="default" w:ascii="Times New Roman" w:hAnsi="Times New Roman" w:cs="Times New Roman"/>
      <w:i/>
      <w:i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801</Words>
  <Characters>4959</Characters>
  <Lines>80</Lines>
  <Paragraphs>22</Paragraphs>
  <TotalTime>13</TotalTime>
  <ScaleCrop>false</ScaleCrop>
  <LinksUpToDate>false</LinksUpToDate>
  <CharactersWithSpaces>5652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2024-06-19T09:58:00Z</dcterms:created>
  <dc:creator>86187</dc:creator>
  <cp:lastModifiedBy>向浏岚</cp:lastModifiedBy>
  <dcterms:modified xsi:type="dcterms:W3CDTF">2025-06-19T11:52:30Z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485A940F8D484103B824870E426102FD_13</vt:lpwstr>
  </property>
  <property fmtid="{D5CDD505-2E9C-101B-9397-08002B2CF9AE}" pid="4" name="KSOTemplateDocerSaveRecord">
    <vt:lpwstr>eyJoZGlkIjoiNDM1NzBmODU4OGUwNmI3OGZhMTQxZDc2OTNiNWM2OGIiLCJ1c2VySWQiOiIzNDQ5NDYwMzQifQ==</vt:lpwstr>
  </property>
</Properties>
</file>