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3505" w14:textId="77777777" w:rsidR="0052377E" w:rsidRPr="00733CE3" w:rsidRDefault="005C1EF5">
      <w:pPr>
        <w:widowControl/>
        <w:jc w:val="left"/>
        <w:rPr>
          <w:color w:val="000000"/>
        </w:rPr>
      </w:pPr>
      <w:r w:rsidRPr="00733CE3">
        <w:rPr>
          <w:color w:val="000000"/>
        </w:rPr>
        <w:drawing>
          <wp:inline distT="0" distB="0" distL="0" distR="0" wp14:anchorId="512D4684" wp14:editId="50F72512">
            <wp:extent cx="5274310" cy="2649220"/>
            <wp:effectExtent l="0" t="0" r="2540" b="0"/>
            <wp:docPr id="997365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6576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D3D6" w14:textId="77777777" w:rsidR="0052377E" w:rsidRPr="00733CE3" w:rsidRDefault="005C1EF5">
      <w:pPr>
        <w:pStyle w:val="NormalWeb"/>
        <w:widowControl/>
        <w:spacing w:beforeAutospacing="0" w:afterAutospacing="0" w:line="480" w:lineRule="auto"/>
        <w:jc w:val="both"/>
        <w:textAlignment w:val="baseline"/>
        <w:rPr>
          <w:rFonts w:ascii="Times New Roman" w:eastAsia="SimSun" w:hAnsi="Times New Roman"/>
          <w:b/>
          <w:bCs/>
          <w:color w:val="000000"/>
          <w:kern w:val="24"/>
          <w:szCs w:val="24"/>
        </w:rPr>
      </w:pPr>
      <w:r w:rsidRPr="00733CE3">
        <w:rPr>
          <w:rFonts w:ascii="Times New Roman" w:eastAsia="SimSun" w:hAnsi="Times New Roman"/>
          <w:b/>
          <w:bCs/>
          <w:color w:val="000000"/>
          <w:kern w:val="24"/>
          <w:szCs w:val="24"/>
        </w:rPr>
        <w:t xml:space="preserve">Figure </w:t>
      </w:r>
      <w:r w:rsidRPr="00733CE3">
        <w:rPr>
          <w:rFonts w:ascii="Times New Roman" w:eastAsia="SimSun" w:hAnsi="Times New Roman" w:hint="eastAsia"/>
          <w:b/>
          <w:bCs/>
          <w:color w:val="000000"/>
          <w:kern w:val="24"/>
          <w:szCs w:val="24"/>
        </w:rPr>
        <w:t>S1</w:t>
      </w:r>
      <w:r w:rsidRPr="00733CE3">
        <w:rPr>
          <w:rFonts w:ascii="Times New Roman" w:eastAsia="SimSun" w:hAnsi="Times New Roman"/>
          <w:b/>
          <w:bCs/>
          <w:color w:val="000000"/>
          <w:kern w:val="24"/>
          <w:szCs w:val="24"/>
        </w:rPr>
        <w:t xml:space="preserve"> </w:t>
      </w:r>
      <w:r w:rsidRPr="00733CE3">
        <w:rPr>
          <w:rFonts w:ascii="Times New Roman" w:eastAsia="SimSun" w:hAnsi="Times New Roman" w:hint="eastAsia"/>
          <w:b/>
          <w:bCs/>
          <w:color w:val="000000"/>
          <w:kern w:val="24"/>
          <w:szCs w:val="24"/>
        </w:rPr>
        <w:t>Clinical score distributions in A-GFAP-A patients with and without ICU admission</w:t>
      </w:r>
    </w:p>
    <w:p w14:paraId="1C259C79" w14:textId="77777777" w:rsidR="0052377E" w:rsidRPr="00733CE3" w:rsidRDefault="005C1EF5">
      <w:pPr>
        <w:pStyle w:val="NormalWeb"/>
        <w:widowControl/>
        <w:spacing w:beforeAutospacing="0" w:afterAutospacing="0" w:line="480" w:lineRule="auto"/>
        <w:jc w:val="both"/>
        <w:textAlignment w:val="baseline"/>
        <w:rPr>
          <w:color w:val="000000"/>
        </w:rPr>
      </w:pPr>
      <w:r w:rsidRPr="00733CE3">
        <w:rPr>
          <w:rFonts w:ascii="Times New Roman" w:hAnsi="Times New Roman" w:hint="eastAsia"/>
          <w:color w:val="000000"/>
          <w:szCs w:val="24"/>
        </w:rPr>
        <w:t>(A) Distribution of Glasgow Coma Scale (GCS) scores in non-ICU and ICU patients. (B) Distribution of modified Rankin Scale (mRS) scores in non-ICU and ICU patients. (C) Distribution of Acute Physiology and Chronic Health Evaluation II (APACHE II) scores in ICU patients. **** indicates a statistically significant difference between groups (p &lt; 0.0001).</w:t>
      </w:r>
      <w:r w:rsidRPr="00733CE3">
        <w:rPr>
          <w:rFonts w:hint="eastAsia"/>
          <w:color w:val="000000"/>
        </w:rPr>
        <w:br w:type="page"/>
      </w:r>
    </w:p>
    <w:p w14:paraId="69F09EBA" w14:textId="77777777" w:rsidR="0052377E" w:rsidRPr="00733CE3" w:rsidRDefault="005C1EF5">
      <w:pPr>
        <w:spacing w:line="480" w:lineRule="auto"/>
        <w:rPr>
          <w:color w:val="000000"/>
        </w:rPr>
      </w:pPr>
      <w:r w:rsidRPr="00733CE3">
        <w:rPr>
          <w:color w:val="000000"/>
        </w:rPr>
        <w:lastRenderedPageBreak/>
        <w:drawing>
          <wp:inline distT="0" distB="0" distL="114300" distR="114300" wp14:anchorId="34560BB1" wp14:editId="640B4B35">
            <wp:extent cx="5268595" cy="4476115"/>
            <wp:effectExtent l="0" t="0" r="8255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3E6E" w14:textId="77777777" w:rsidR="0052377E" w:rsidRPr="00733CE3" w:rsidRDefault="005C1EF5">
      <w:pPr>
        <w:pStyle w:val="NormalWeb"/>
        <w:widowControl/>
        <w:spacing w:beforeAutospacing="0" w:afterAutospacing="0" w:line="480" w:lineRule="auto"/>
        <w:textAlignment w:val="baseline"/>
        <w:rPr>
          <w:rFonts w:ascii="Times New Roman" w:hAnsi="Times New Roman"/>
          <w:color w:val="000000"/>
          <w:szCs w:val="24"/>
        </w:rPr>
      </w:pPr>
      <w:r w:rsidRPr="00733CE3">
        <w:rPr>
          <w:rFonts w:ascii="Times New Roman" w:eastAsia="SimSun" w:hAnsi="Times New Roman"/>
          <w:b/>
          <w:bCs/>
          <w:color w:val="000000"/>
          <w:kern w:val="24"/>
          <w:szCs w:val="24"/>
        </w:rPr>
        <w:t xml:space="preserve">Figure </w:t>
      </w:r>
      <w:r w:rsidRPr="00733CE3">
        <w:rPr>
          <w:rFonts w:ascii="Times New Roman" w:eastAsia="SimSun" w:hAnsi="Times New Roman" w:hint="eastAsia"/>
          <w:b/>
          <w:bCs/>
          <w:color w:val="000000"/>
          <w:kern w:val="24"/>
          <w:szCs w:val="24"/>
        </w:rPr>
        <w:t>S2</w:t>
      </w:r>
      <w:r w:rsidRPr="00733CE3">
        <w:rPr>
          <w:rFonts w:ascii="Times New Roman" w:eastAsia="SimSun" w:hAnsi="Times New Roman"/>
          <w:b/>
          <w:bCs/>
          <w:color w:val="000000"/>
          <w:kern w:val="24"/>
          <w:szCs w:val="24"/>
        </w:rPr>
        <w:t xml:space="preserve"> Comparison of clinical outcomes between GFAP-A patients admitted to the ICU and non-ICU.</w:t>
      </w:r>
    </w:p>
    <w:p w14:paraId="3D95DB47" w14:textId="77777777" w:rsidR="0052377E" w:rsidRPr="00733CE3" w:rsidRDefault="005C1EF5">
      <w:pPr>
        <w:pStyle w:val="NormalWeb"/>
        <w:widowControl/>
        <w:spacing w:beforeAutospacing="0" w:afterAutospacing="0" w:line="480" w:lineRule="auto"/>
        <w:jc w:val="both"/>
        <w:textAlignment w:val="baseline"/>
        <w:rPr>
          <w:color w:val="000000"/>
          <w14:ligatures w14:val="standardContextual"/>
        </w:rPr>
      </w:pPr>
      <w:r w:rsidRPr="00733CE3">
        <w:rPr>
          <w:rFonts w:ascii="Times New Roman" w:eastAsia="SimSun" w:hAnsi="Times New Roman"/>
          <w:color w:val="000000"/>
          <w:kern w:val="24"/>
          <w:szCs w:val="24"/>
        </w:rPr>
        <w:t>(A-B) Glasgow Coma Scale (GCS) and modified Rankin Scale (mRS) scores at admission, 2 weeks post-admission, and 4 weeks post-admission</w:t>
      </w:r>
      <w:r w:rsidRPr="00733CE3">
        <w:rPr>
          <w:rFonts w:ascii="Times New Roman" w:eastAsia="SimSun" w:hAnsi="Times New Roman" w:hint="eastAsia"/>
          <w:color w:val="000000"/>
          <w:kern w:val="24"/>
          <w:szCs w:val="24"/>
        </w:rPr>
        <w:t xml:space="preserve"> between two groups (p&lt;0.001)</w:t>
      </w:r>
      <w:r w:rsidRPr="00733CE3">
        <w:rPr>
          <w:rFonts w:ascii="Times New Roman" w:eastAsia="SimSun" w:hAnsi="Times New Roman"/>
          <w:color w:val="000000"/>
          <w:kern w:val="24"/>
          <w:szCs w:val="24"/>
        </w:rPr>
        <w:t>.</w:t>
      </w:r>
      <w:r w:rsidRPr="00733CE3">
        <w:rPr>
          <w:rFonts w:ascii="Times New Roman" w:eastAsia="SimSun" w:hAnsi="Times New Roman" w:hint="eastAsia"/>
          <w:color w:val="000000"/>
          <w:kern w:val="24"/>
          <w:szCs w:val="24"/>
        </w:rPr>
        <w:t xml:space="preserve"> </w:t>
      </w:r>
      <w:r w:rsidRPr="00733CE3">
        <w:rPr>
          <w:rFonts w:ascii="Times New Roman" w:eastAsia="SimSun" w:hAnsi="Times New Roman"/>
          <w:color w:val="000000"/>
          <w:kern w:val="24"/>
          <w:szCs w:val="24"/>
        </w:rPr>
        <w:t xml:space="preserve">(C-D) </w:t>
      </w:r>
      <w:r w:rsidR="00B3378E" w:rsidRPr="00733CE3">
        <w:rPr>
          <w:rFonts w:ascii="Times New Roman" w:eastAsia="SimSun" w:hAnsi="Times New Roman" w:hint="eastAsia"/>
          <w:color w:val="000000"/>
          <w:kern w:val="24"/>
          <w:szCs w:val="24"/>
        </w:rPr>
        <w:t>L</w:t>
      </w:r>
      <w:r w:rsidRPr="00733CE3">
        <w:rPr>
          <w:rFonts w:ascii="Times New Roman" w:eastAsia="SimSun" w:hAnsi="Times New Roman"/>
          <w:color w:val="000000"/>
          <w:kern w:val="24"/>
          <w:szCs w:val="24"/>
        </w:rPr>
        <w:t>imb weakness and urinary dysfunction at admission and discharge.</w:t>
      </w:r>
    </w:p>
    <w:p w14:paraId="3909FA0D" w14:textId="77777777" w:rsidR="0052377E" w:rsidRPr="00733CE3" w:rsidRDefault="005C1EF5">
      <w:pPr>
        <w:spacing w:line="480" w:lineRule="auto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733CE3">
        <w:rPr>
          <w:color w:val="000000"/>
        </w:rPr>
        <w:lastRenderedPageBreak/>
        <w:drawing>
          <wp:inline distT="0" distB="0" distL="0" distR="0" wp14:anchorId="20511C27" wp14:editId="62B1CD39">
            <wp:extent cx="5274310" cy="5022215"/>
            <wp:effectExtent l="0" t="0" r="2540" b="6985"/>
            <wp:docPr id="908544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4407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A9498" w14:textId="77777777" w:rsidR="0052377E" w:rsidRPr="00733CE3" w:rsidRDefault="005C1EF5">
      <w:pPr>
        <w:spacing w:line="480" w:lineRule="auto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733CE3">
        <w:rPr>
          <w:rFonts w:ascii="Times New Roman" w:hAnsi="Times New Roman" w:cs="Times New Roman" w:hint="eastAsia"/>
          <w:b/>
          <w:bCs/>
          <w:color w:val="000000"/>
          <w:kern w:val="24"/>
          <w:sz w:val="24"/>
          <w:szCs w:val="24"/>
        </w:rPr>
        <w:t xml:space="preserve">Figure S3 Correlation matrix of predictive variables considered for ICU admission in A-GFAP-A patients. </w:t>
      </w:r>
    </w:p>
    <w:p w14:paraId="4CB37D2F" w14:textId="77777777" w:rsidR="0052377E" w:rsidRPr="00733CE3" w:rsidRDefault="00F2556E">
      <w:pPr>
        <w:widowControl/>
        <w:spacing w:line="480" w:lineRule="auto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733CE3">
        <w:rPr>
          <w:rFonts w:ascii="Times New Roman" w:hAnsi="Times New Roman" w:cs="Times New Roman" w:hint="eastAsia"/>
          <w:color w:val="000000"/>
          <w:kern w:val="24"/>
          <w:sz w:val="24"/>
          <w:szCs w:val="24"/>
        </w:rPr>
        <w:t>A heatmap displaying the pairwise Pearson correlation coefficients among all candidate predictive variables analyzed. The color gradient indicates correlation magnitude: darker red denotes stronger negative correlations, while blue shades represent stronger positive correlations. *P &lt; 0.05; **P &lt; 0.01; ***P &lt; 0.001.</w:t>
      </w:r>
      <w:r w:rsidRPr="00733CE3">
        <w:rPr>
          <w:rFonts w:ascii="Times New Roman" w:hAnsi="Times New Roman" w:cs="Times New Roman" w:hint="eastAsia"/>
          <w:color w:val="000000"/>
          <w:kern w:val="24"/>
          <w:sz w:val="24"/>
          <w:szCs w:val="24"/>
        </w:rPr>
        <w:cr/>
      </w:r>
      <w:r w:rsidRPr="00733CE3">
        <w:rPr>
          <w:rFonts w:ascii="Times New Roman" w:hAnsi="Times New Roman" w:cs="Times New Roman"/>
          <w:color w:val="000000"/>
          <w:kern w:val="24"/>
          <w:sz w:val="24"/>
          <w:szCs w:val="24"/>
        </w:rPr>
        <w:br w:type="page"/>
      </w:r>
    </w:p>
    <w:p w14:paraId="1CD6587B" w14:textId="77777777" w:rsidR="0052377E" w:rsidRPr="00733CE3" w:rsidRDefault="005C1EF5">
      <w:pPr>
        <w:spacing w:line="480" w:lineRule="auto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733CE3">
        <w:rPr>
          <w:color w:val="000000"/>
          <w14:ligatures w14:val="standardContextual"/>
        </w:rPr>
        <w:lastRenderedPageBreak/>
        <w:drawing>
          <wp:inline distT="0" distB="0" distL="0" distR="0" wp14:anchorId="5A1AE15E" wp14:editId="5444AEEF">
            <wp:extent cx="5274310" cy="4789805"/>
            <wp:effectExtent l="0" t="0" r="2540" b="0"/>
            <wp:docPr id="12650371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3714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2971" w14:textId="77777777" w:rsidR="0052377E" w:rsidRPr="00733CE3" w:rsidRDefault="005C1EF5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3CE3">
        <w:rPr>
          <w:rFonts w:ascii="Times New Roman" w:hAnsi="Times New Roman" w:cs="Times New Roman" w:hint="eastAsia"/>
          <w:b/>
          <w:bCs/>
          <w:color w:val="000000"/>
          <w:kern w:val="24"/>
          <w:sz w:val="24"/>
          <w:szCs w:val="24"/>
        </w:rPr>
        <w:t>Figure S4 Bootstrap validation ROC curve for the nomogram predicting ICU admission in A-GFAP-A patients.</w:t>
      </w:r>
    </w:p>
    <w:p w14:paraId="21FBCE30" w14:textId="77777777" w:rsidR="0052377E" w:rsidRPr="00733CE3" w:rsidRDefault="005C1EF5">
      <w:pPr>
        <w:widowControl/>
        <w:rPr>
          <w:color w:val="000000"/>
        </w:rPr>
      </w:pPr>
      <w:r w:rsidRPr="00733CE3">
        <w:rPr>
          <w:rFonts w:hint="eastAsia"/>
          <w:color w:val="000000"/>
        </w:rPr>
        <w:br w:type="page"/>
      </w:r>
      <w:r w:rsidRPr="00733CE3">
        <w:rPr>
          <w:color w:val="000000"/>
        </w:rPr>
        <w:lastRenderedPageBreak/>
        <w:drawing>
          <wp:inline distT="0" distB="0" distL="0" distR="0" wp14:anchorId="69F7F438" wp14:editId="6860E9AC">
            <wp:extent cx="2596515" cy="2772410"/>
            <wp:effectExtent l="0" t="0" r="0" b="8890"/>
            <wp:docPr id="215354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5438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2940" cy="277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1BDC2" w14:textId="77777777" w:rsidR="0052377E" w:rsidRPr="00733CE3" w:rsidRDefault="005C1EF5">
      <w:pPr>
        <w:widowControl/>
        <w:rPr>
          <w:rFonts w:ascii="Times New Roman" w:eastAsia="SimSun" w:hAnsi="Times New Roman" w:cs="Times New Roman"/>
          <w:b/>
          <w:bCs/>
          <w:color w:val="000000"/>
          <w:kern w:val="24"/>
          <w:sz w:val="24"/>
          <w:szCs w:val="24"/>
        </w:rPr>
      </w:pPr>
      <w:r w:rsidRPr="00733CE3">
        <w:rPr>
          <w:rFonts w:ascii="Times New Roman" w:eastAsia="SimSun" w:hAnsi="Times New Roman" w:cs="Times New Roman"/>
          <w:b/>
          <w:bCs/>
          <w:color w:val="000000"/>
          <w:kern w:val="24"/>
          <w:sz w:val="24"/>
          <w:szCs w:val="24"/>
        </w:rPr>
        <w:t xml:space="preserve">Figure </w:t>
      </w:r>
      <w:r w:rsidRPr="00733CE3">
        <w:rPr>
          <w:rFonts w:ascii="Times New Roman" w:eastAsia="SimSun" w:hAnsi="Times New Roman" w:cs="Times New Roman" w:hint="eastAsia"/>
          <w:b/>
          <w:bCs/>
          <w:color w:val="000000"/>
          <w:kern w:val="24"/>
          <w:sz w:val="24"/>
          <w:szCs w:val="24"/>
        </w:rPr>
        <w:t>S5</w:t>
      </w:r>
      <w:r w:rsidRPr="00733CE3">
        <w:rPr>
          <w:rFonts w:ascii="Times New Roman" w:eastAsia="SimSu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733CE3">
        <w:rPr>
          <w:rFonts w:ascii="Times New Roman" w:eastAsia="SimSun" w:hAnsi="Times New Roman" w:cs="Times New Roman" w:hint="eastAsia"/>
          <w:b/>
          <w:bCs/>
          <w:color w:val="000000"/>
          <w:kern w:val="24"/>
          <w:sz w:val="24"/>
          <w:szCs w:val="24"/>
        </w:rPr>
        <w:t>Blood sodium level in A-GFAP-A patients with and without seizures</w:t>
      </w:r>
    </w:p>
    <w:p w14:paraId="2D79AFC4" w14:textId="77777777" w:rsidR="0052377E" w:rsidRPr="00733CE3" w:rsidRDefault="005C1EF5">
      <w:pPr>
        <w:widowControl/>
        <w:jc w:val="left"/>
        <w:rPr>
          <w:color w:val="000000"/>
        </w:rPr>
      </w:pPr>
      <w:r w:rsidRPr="00733CE3">
        <w:rPr>
          <w:rFonts w:hint="eastAsia"/>
          <w:color w:val="000000"/>
        </w:rPr>
        <w:br w:type="page"/>
      </w:r>
    </w:p>
    <w:tbl>
      <w:tblPr>
        <w:tblW w:w="9479" w:type="dxa"/>
        <w:tblInd w:w="-581" w:type="dxa"/>
        <w:tblLook w:val="04A0" w:firstRow="1" w:lastRow="0" w:firstColumn="1" w:lastColumn="0" w:noHBand="0" w:noVBand="1"/>
      </w:tblPr>
      <w:tblGrid>
        <w:gridCol w:w="3275"/>
        <w:gridCol w:w="1668"/>
        <w:gridCol w:w="1764"/>
        <w:gridCol w:w="1896"/>
        <w:gridCol w:w="876"/>
      </w:tblGrid>
      <w:tr w:rsidR="0052377E" w:rsidRPr="00733CE3" w14:paraId="590E99E0" w14:textId="77777777">
        <w:trPr>
          <w:trHeight w:val="570"/>
        </w:trPr>
        <w:tc>
          <w:tcPr>
            <w:tcW w:w="947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58C872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Table S1. Treatment strategies.</w:t>
            </w:r>
          </w:p>
        </w:tc>
      </w:tr>
      <w:tr w:rsidR="0052377E" w:rsidRPr="00733CE3" w14:paraId="3CB663AE" w14:textId="77777777">
        <w:trPr>
          <w:trHeight w:val="570"/>
        </w:trPr>
        <w:tc>
          <w:tcPr>
            <w:tcW w:w="3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05C3" w14:textId="77777777" w:rsidR="0052377E" w:rsidRPr="00733CE3" w:rsidRDefault="0052377E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C615" w14:textId="77777777" w:rsidR="0052377E" w:rsidRPr="00733CE3" w:rsidRDefault="0052377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A2EEF8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ICU admission in GFAP-A patients</w:t>
            </w:r>
          </w:p>
        </w:tc>
      </w:tr>
      <w:tr w:rsidR="0052377E" w:rsidRPr="00733CE3" w14:paraId="4D187C79" w14:textId="77777777">
        <w:trPr>
          <w:trHeight w:val="756"/>
        </w:trPr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1ADDE8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BFE2FF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The study cohort (training and validation, N=107)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74490B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non-ICU admission</w:t>
            </w: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(N=69)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3274E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ICU admission</w:t>
            </w: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  <w:t>(N=38)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79C00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52377E" w:rsidRPr="00733CE3" w14:paraId="6387F6EF" w14:textId="77777777">
        <w:trPr>
          <w:trHeight w:val="3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0AF2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Treatment and outcomes, n(%)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A95A" w14:textId="77777777" w:rsidR="0052377E" w:rsidRPr="00733CE3" w:rsidRDefault="0052377E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9A774" w14:textId="77777777" w:rsidR="0052377E" w:rsidRPr="00733CE3" w:rsidRDefault="005237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EB1B" w14:textId="77777777" w:rsidR="0052377E" w:rsidRPr="00733CE3" w:rsidRDefault="005237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15BD" w14:textId="77777777" w:rsidR="0052377E" w:rsidRPr="00733CE3" w:rsidRDefault="005237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2377E" w:rsidRPr="00733CE3" w14:paraId="6BE56EC0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1D31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Steroid pulse therapy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CFFF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86 (80.4)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3265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59 (85.5)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0E7B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27 (71.1)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4A97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0.122</w:t>
            </w:r>
          </w:p>
        </w:tc>
      </w:tr>
      <w:tr w:rsidR="0052377E" w:rsidRPr="00733CE3" w14:paraId="76305217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AB2B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Efgartigimod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16E5B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 (21.5)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7BD0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14 (20.3)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C3D6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 (23.7)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CA87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52377E" w:rsidRPr="00733CE3" w14:paraId="68648FD8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2D46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Immunoadsorption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A615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11 (10.3)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2A54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 (7.2)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A2EB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 (15.8)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F95F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0.289</w:t>
            </w:r>
          </w:p>
        </w:tc>
      </w:tr>
      <w:tr w:rsidR="0052377E" w:rsidRPr="00733CE3" w14:paraId="08C91D82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459B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IVIG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39FB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42 (39.3)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1099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30 (43.5)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A32F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12 (31.6)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279A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0.318</w:t>
            </w:r>
          </w:p>
        </w:tc>
      </w:tr>
      <w:tr w:rsidR="0052377E" w:rsidRPr="00733CE3" w14:paraId="42220D9B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C08C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Mycophenolate mofetil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76CD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54 (50.5)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7C4D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37 (53.6)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6A0B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17 (44.7)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3FA31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0.498</w:t>
            </w:r>
          </w:p>
        </w:tc>
      </w:tr>
      <w:tr w:rsidR="0052377E" w:rsidRPr="00733CE3" w14:paraId="4A1677CE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CB0D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Azathioprine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801A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 (3.7)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18C6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 (4.3)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27AA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 (2.6)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8664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2377E" w:rsidRPr="00733CE3" w14:paraId="4F19431B" w14:textId="77777777">
        <w:trPr>
          <w:trHeight w:val="22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ECA1" w14:textId="77777777" w:rsidR="0052377E" w:rsidRPr="00733CE3" w:rsidRDefault="005C1EF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  Monoclonal antibody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D1AE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19 (17.8)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B6FC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11 (15.9)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B2ED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 (21.1)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4D0C1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0.691</w:t>
            </w:r>
          </w:p>
        </w:tc>
      </w:tr>
      <w:tr w:rsidR="0052377E" w:rsidRPr="00733CE3" w14:paraId="340D25FD" w14:textId="77777777">
        <w:trPr>
          <w:trHeight w:val="500"/>
        </w:trPr>
        <w:tc>
          <w:tcPr>
            <w:tcW w:w="947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053D7" w14:textId="77777777" w:rsidR="0052377E" w:rsidRPr="00733CE3" w:rsidRDefault="005C1EF5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Note: IVIG=Intravenous immunoglobulin; IQR=Inter-Quartile Range.</w:t>
            </w:r>
          </w:p>
        </w:tc>
      </w:tr>
    </w:tbl>
    <w:p w14:paraId="77772E4D" w14:textId="77777777" w:rsidR="0052377E" w:rsidRPr="00733CE3" w:rsidRDefault="005C1EF5">
      <w:pPr>
        <w:rPr>
          <w:color w:val="000000"/>
        </w:rPr>
      </w:pPr>
      <w:r w:rsidRPr="00733CE3">
        <w:rPr>
          <w:rFonts w:hint="eastAsia"/>
          <w:color w:val="000000"/>
        </w:rPr>
        <w:br w:type="page"/>
      </w:r>
    </w:p>
    <w:tbl>
      <w:tblPr>
        <w:tblW w:w="9656" w:type="dxa"/>
        <w:tblInd w:w="98" w:type="dxa"/>
        <w:tblLook w:val="04A0" w:firstRow="1" w:lastRow="0" w:firstColumn="1" w:lastColumn="0" w:noHBand="0" w:noVBand="1"/>
      </w:tblPr>
      <w:tblGrid>
        <w:gridCol w:w="3163"/>
        <w:gridCol w:w="1873"/>
        <w:gridCol w:w="1797"/>
        <w:gridCol w:w="1743"/>
        <w:gridCol w:w="1080"/>
      </w:tblGrid>
      <w:tr w:rsidR="0052377E" w:rsidRPr="00733CE3" w14:paraId="33F72507" w14:textId="77777777" w:rsidTr="003257B0">
        <w:trPr>
          <w:trHeight w:val="289"/>
        </w:trPr>
        <w:tc>
          <w:tcPr>
            <w:tcW w:w="965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38468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Table S2.  Outcome measures and complications.</w:t>
            </w:r>
          </w:p>
        </w:tc>
      </w:tr>
      <w:tr w:rsidR="0052377E" w:rsidRPr="00733CE3" w14:paraId="401AA1B6" w14:textId="77777777" w:rsidTr="003257B0">
        <w:trPr>
          <w:trHeight w:val="293"/>
        </w:trPr>
        <w:tc>
          <w:tcPr>
            <w:tcW w:w="31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51EA" w14:textId="77777777" w:rsidR="0052377E" w:rsidRPr="00733CE3" w:rsidRDefault="0052377E">
            <w:pPr>
              <w:jc w:val="left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45B6" w14:textId="77777777" w:rsidR="0052377E" w:rsidRPr="00733CE3" w:rsidRDefault="0052377E">
            <w:pPr>
              <w:jc w:val="left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9A50CD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ICU admission in GFAP-A patients</w:t>
            </w:r>
          </w:p>
        </w:tc>
      </w:tr>
      <w:tr w:rsidR="0052377E" w:rsidRPr="00733CE3" w14:paraId="4D37E0D2" w14:textId="77777777" w:rsidTr="003257B0">
        <w:trPr>
          <w:trHeight w:val="1017"/>
        </w:trPr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BAA9C5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Variables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FBE9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The study cohort (training and validation, N=107)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0E658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non-ICU admission</w:t>
            </w: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(N=69)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5A470E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ICU admission</w:t>
            </w: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(N=38)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4E1D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52377E" w:rsidRPr="00733CE3" w14:paraId="4DF0C337" w14:textId="77777777" w:rsidTr="003257B0">
        <w:trPr>
          <w:trHeight w:val="26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C695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Scores, n (%)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2A5B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B203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E578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1844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1058B94A" w14:textId="77777777" w:rsidTr="003257B0">
        <w:trPr>
          <w:trHeight w:val="282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DFF01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GCS 2W, n(%)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A408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D7223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0A17F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7DD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52377E" w:rsidRPr="00733CE3" w14:paraId="63862A63" w14:textId="77777777" w:rsidTr="003257B0">
        <w:trPr>
          <w:trHeight w:val="273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FBFD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3-7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E3E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5B0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FF46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F134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377E" w:rsidRPr="00733CE3" w14:paraId="288B445F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F148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1E6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986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B334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B64C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2BF53357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C449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DAD7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05E65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35F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0B96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412104D6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4CC5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27CD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 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B9DE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3DAF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 (18.4)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39B8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4D29469C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5A0A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F25F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BFDF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A528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092F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1A504112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B64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637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AE9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7837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628B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7246E966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0976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B70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9719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85C1E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BAD9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756C5193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F4B4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609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11 (10.3)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CB2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 (7.2)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CE37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 (15.8)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0A85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1B20421A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7C9F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C24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81 (75.7)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8B9D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62 (89.9)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F41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19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8334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6C8B9AA2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9B9D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GCS 4W, n(%)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2AA68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1F7D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D1BB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ECC2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0.176</w:t>
            </w:r>
          </w:p>
        </w:tc>
      </w:tr>
      <w:tr w:rsidR="0052377E" w:rsidRPr="00733CE3" w14:paraId="38CE6381" w14:textId="77777777" w:rsidTr="003257B0">
        <w:trPr>
          <w:trHeight w:val="281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3336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3-8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169E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94B4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942F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36A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3342FBA2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1B5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8DE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F64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5C2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69BB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18C6A086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4161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03A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CAB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3B7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A578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5D1DCAEE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E370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005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4D2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479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EF1C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7183A219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EA6B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0289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F85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1E4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9F79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5F47C661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7B50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8B0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37C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5AD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9EE6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2A852000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2557F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D65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612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ECF5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2ECD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458C44F6" w14:textId="77777777" w:rsidTr="003257B0">
        <w:trPr>
          <w:trHeight w:val="227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7C50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DA8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98 (91.6)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5981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66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EB7E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32 (84.2)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0B66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345AF2CD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636A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mRS 2W, n(%)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AF6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D5DC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5268D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4A99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52377E" w:rsidRPr="00733CE3" w14:paraId="4798E804" w14:textId="77777777" w:rsidTr="003257B0">
        <w:trPr>
          <w:trHeight w:val="25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805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613C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8DC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141E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69EF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6F23620B" w14:textId="77777777" w:rsidTr="003257B0">
        <w:trPr>
          <w:trHeight w:val="273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B466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89D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EBD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 (7.2)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A969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FDFC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713E443D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345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8AB6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22 (20.6)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210F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21 (30.4)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3E7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A15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18143119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D19E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852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32 (29.9)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BCAF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24 (34.8)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234EE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8 (21.1)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6081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243FC489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45DA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97C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41 (38.3)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C5F7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19 (27.5)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9826D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22 (57.9)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667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2F0CE47C" w14:textId="77777777" w:rsidTr="003257B0">
        <w:trPr>
          <w:trHeight w:val="23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7A56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026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 (6.5)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A02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FDD7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 (18.4)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FCBF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2D0DA76A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2C43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mRS 4W, n(%)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CB732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BD2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44CD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C2D96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52377E" w:rsidRPr="00733CE3" w14:paraId="035859C1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51C4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B840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4664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4DAF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06DF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367A8C46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F230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1AAA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9 (8.4)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D616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9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B3C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A6F2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2E3323C7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24B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08D4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33 (30.8)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9804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30 (43.5)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5C9D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B798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3107AF83" w14:textId="77777777" w:rsidTr="003257B0">
        <w:trPr>
          <w:trHeight w:val="274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4FC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426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28 (26.2)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9C4C7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18 (26.1)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E70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10 (26.3)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BE2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13897795" w14:textId="77777777" w:rsidTr="003257B0">
        <w:trPr>
          <w:trHeight w:val="273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FEEC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5E68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33 (30.8)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77DF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10 (14.5)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99C6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23 (60.5)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4A1F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625C1507" w14:textId="77777777" w:rsidTr="003257B0">
        <w:trPr>
          <w:trHeight w:val="23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4D66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     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F35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D7D5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BDD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3160" w14:textId="77777777" w:rsidR="0052377E" w:rsidRPr="00733CE3" w:rsidRDefault="0052377E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52377E" w:rsidRPr="00733CE3" w14:paraId="701A4BB5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8FA1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Urinary dysfunction at first discharge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BE0C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44 (41.1)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B2C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23 (33.3)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F249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21 (55.3)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9A8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0.045</w:t>
            </w:r>
          </w:p>
        </w:tc>
      </w:tr>
      <w:tr w:rsidR="0052377E" w:rsidRPr="00733CE3" w14:paraId="3EFD527C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60D4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Limb weakness at first discharge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8B7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61 (57.0)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4538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34 (49.3)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5374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27 (71.1)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6FF2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0.048</w:t>
            </w:r>
          </w:p>
        </w:tc>
      </w:tr>
      <w:tr w:rsidR="0052377E" w:rsidRPr="00733CE3" w14:paraId="61B59CB1" w14:textId="77777777" w:rsidTr="003257B0">
        <w:trPr>
          <w:trHeight w:val="23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2209" w14:textId="77777777" w:rsidR="0052377E" w:rsidRPr="00733CE3" w:rsidRDefault="005C1EF5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Length of stay, median [IQR]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7595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14 [11,20]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A573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13 [10,18]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72231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16 [13,23]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7D7B" w14:textId="77777777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:rsidR="0052377E" w:rsidRPr="00733CE3" w14:paraId="020FDF7C" w14:textId="77777777" w:rsidTr="003257B0">
        <w:trPr>
          <w:trHeight w:val="501"/>
        </w:trPr>
        <w:tc>
          <w:tcPr>
            <w:tcW w:w="965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9174F" w14:textId="25C7BA46" w:rsidR="0052377E" w:rsidRPr="00733CE3" w:rsidRDefault="005C1EF5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Note: GCS=Glasgow Coma Scale; mRS=modified Rankin Scale; IQR=Inter-Quartile Range.</w:t>
            </w:r>
            <w:r w:rsidR="003257B0" w:rsidRPr="00733CE3">
              <w:rPr>
                <w:rFonts w:ascii="Arial" w:eastAsia="SimSun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3257B0" w:rsidRPr="00733CE3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Bolded P values indicate statistically significant differences (p&lt;0.05).</w:t>
            </w:r>
          </w:p>
        </w:tc>
      </w:tr>
    </w:tbl>
    <w:p w14:paraId="35FD4AD9" w14:textId="77777777" w:rsidR="0052377E" w:rsidRPr="00733CE3" w:rsidRDefault="0052377E">
      <w:pPr>
        <w:rPr>
          <w:color w:val="000000"/>
          <w:sz w:val="18"/>
          <w:szCs w:val="18"/>
        </w:rPr>
      </w:pPr>
    </w:p>
    <w:sectPr w:rsidR="0052377E" w:rsidRPr="00733CE3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FF4C" w14:textId="77777777" w:rsidR="00806E07" w:rsidRDefault="00806E07" w:rsidP="00B3378E">
      <w:r>
        <w:separator/>
      </w:r>
    </w:p>
  </w:endnote>
  <w:endnote w:type="continuationSeparator" w:id="0">
    <w:p w14:paraId="4CFCA889" w14:textId="77777777" w:rsidR="00806E07" w:rsidRDefault="00806E07" w:rsidP="00B3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1CC5" w14:textId="730EF50E" w:rsidR="00DF10FF" w:rsidRDefault="00DF10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DC17AB" wp14:editId="00C926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469318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297F4" w14:textId="27DC1933" w:rsidR="00DF10FF" w:rsidRPr="00DF10FF" w:rsidRDefault="00DF10FF" w:rsidP="00DF10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10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C17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199297F4" w14:textId="27DC1933" w:rsidR="00DF10FF" w:rsidRPr="00DF10FF" w:rsidRDefault="00DF10FF" w:rsidP="00DF10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10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5EB1" w14:textId="16C52628" w:rsidR="00DF10FF" w:rsidRDefault="00DF10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559870" wp14:editId="5BC139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810753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E6DBF" w14:textId="52B4F7B3" w:rsidR="00DF10FF" w:rsidRPr="00DF10FF" w:rsidRDefault="00DF10FF" w:rsidP="00DF10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10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598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4AE6DBF" w14:textId="52B4F7B3" w:rsidR="00DF10FF" w:rsidRPr="00DF10FF" w:rsidRDefault="00DF10FF" w:rsidP="00DF10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10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48C0" w14:textId="427B2465" w:rsidR="00DF10FF" w:rsidRDefault="00DF10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301CF9" wp14:editId="3516E1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45655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BCFEB" w14:textId="58842CFB" w:rsidR="00DF10FF" w:rsidRPr="00DF10FF" w:rsidRDefault="00DF10FF" w:rsidP="00DF10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10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01C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49BCFEB" w14:textId="58842CFB" w:rsidR="00DF10FF" w:rsidRPr="00DF10FF" w:rsidRDefault="00DF10FF" w:rsidP="00DF10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10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2826" w14:textId="77777777" w:rsidR="00806E07" w:rsidRDefault="00806E07" w:rsidP="00B3378E">
      <w:r>
        <w:separator/>
      </w:r>
    </w:p>
  </w:footnote>
  <w:footnote w:type="continuationSeparator" w:id="0">
    <w:p w14:paraId="44ED4B2F" w14:textId="77777777" w:rsidR="00806E07" w:rsidRDefault="00806E07" w:rsidP="00B3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mFmOTkzOWNiYzE2MjYyMTg5NjM3ZmNiZmUyMDUifQ=="/>
  </w:docVars>
  <w:rsids>
    <w:rsidRoot w:val="004B1431"/>
    <w:rsid w:val="000D735D"/>
    <w:rsid w:val="00274BE9"/>
    <w:rsid w:val="003257B0"/>
    <w:rsid w:val="00466DA9"/>
    <w:rsid w:val="004B1431"/>
    <w:rsid w:val="0052377E"/>
    <w:rsid w:val="00594A16"/>
    <w:rsid w:val="005C1EF5"/>
    <w:rsid w:val="005D2FAE"/>
    <w:rsid w:val="006059DB"/>
    <w:rsid w:val="00647036"/>
    <w:rsid w:val="006E2A94"/>
    <w:rsid w:val="00733CE3"/>
    <w:rsid w:val="00773A26"/>
    <w:rsid w:val="00806E07"/>
    <w:rsid w:val="00872764"/>
    <w:rsid w:val="008C0A92"/>
    <w:rsid w:val="008E5C3B"/>
    <w:rsid w:val="00915C53"/>
    <w:rsid w:val="00975E53"/>
    <w:rsid w:val="009C3227"/>
    <w:rsid w:val="00A50829"/>
    <w:rsid w:val="00B3378E"/>
    <w:rsid w:val="00BE1900"/>
    <w:rsid w:val="00CA7988"/>
    <w:rsid w:val="00D356AD"/>
    <w:rsid w:val="00DF10FF"/>
    <w:rsid w:val="00F2556E"/>
    <w:rsid w:val="0C0631F1"/>
    <w:rsid w:val="13085416"/>
    <w:rsid w:val="29974EDA"/>
    <w:rsid w:val="313F057D"/>
    <w:rsid w:val="4F774014"/>
    <w:rsid w:val="580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E6742"/>
  <w15:docId w15:val="{150EBC57-78C4-425F-B874-F7A0FDD6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A2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773A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73A2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A2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Weipeng Li</dc:creator>
  <cp:lastModifiedBy>Spence, Oliver</cp:lastModifiedBy>
  <cp:revision>2</cp:revision>
  <cp:lastPrinted>2024-10-31T05:21:00Z</cp:lastPrinted>
  <dcterms:created xsi:type="dcterms:W3CDTF">2025-07-09T00:35:00Z</dcterms:created>
  <dcterms:modified xsi:type="dcterms:W3CDTF">2025-07-09T00:35:00Z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3A511DB26ED641D0B11D6C1AE9D21EF5_12</vt:lpwstr>
  </property>
  <property fmtid="{D5CDD505-2E9C-101B-9397-08002B2CF9AE}" pid="4" name="KSOTemplateDocerSaveRecord">
    <vt:lpwstr>eyJoZGlkIjoiZTMxZjU5ZTgwNzIwMTI3YmI5YTVmYWQxMjUwYjBkZWEiLCJ1c2VySWQiOiI2MzE3NjIzMTkifQ==</vt:lpwstr>
  </property>
  <property fmtid="{D5CDD505-2E9C-101B-9397-08002B2CF9AE}" pid="5" name="ClassificationContentMarkingFooterShapeIds">
    <vt:lpwstr>3d9312a,5c344eb5,22a28171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2025-06-24T23:34:13Z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559bd3e0-8278-4772-b2ea-146f1687c884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