
<file path=[Content_Types].xml><?xml version="1.0" encoding="utf-8"?>
<Types xmlns="http://schemas.openxmlformats.org/package/2006/content-types">
  <Default Extension="json" ContentType="application/jso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doc" Type="http://schemas.openxmlformats.org/officeDocument/2006/relationships/json" Target="docProps/authors.json"/><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D273B" w14:textId="5C212A79" w:rsidR="00DA23E4" w:rsidRDefault="004613AF">
      <w:pPr>
        <w:pStyle w:val="Title"/>
        <w:spacing w:line="360" w:lineRule="auto"/>
        <w:rPr>
          <w:rFonts w:ascii="Arial" w:hAnsi="Arial" w:cs="Arial"/>
          <w:sz w:val="36"/>
          <w:szCs w:val="36"/>
          <w:lang w:val="en-US"/>
        </w:rPr>
      </w:pPr>
      <w:bookmarkStart w:id="0" w:name="_Hlk168481729"/>
      <w:r w:rsidRPr="00275395">
        <w:rPr>
          <w:rFonts w:ascii="Arial" w:hAnsi="Arial" w:cs="Arial"/>
          <w:sz w:val="36"/>
          <w:szCs w:val="36"/>
          <w:lang w:val="en-US"/>
        </w:rPr>
        <w:t>Supplementa</w:t>
      </w:r>
      <w:r w:rsidR="00E455CB" w:rsidRPr="00275395">
        <w:rPr>
          <w:rFonts w:ascii="Arial" w:hAnsi="Arial" w:cs="Arial"/>
          <w:sz w:val="36"/>
          <w:szCs w:val="36"/>
          <w:lang w:val="en-US"/>
        </w:rPr>
        <w:t>l</w:t>
      </w:r>
      <w:r w:rsidRPr="00275395">
        <w:rPr>
          <w:rFonts w:ascii="Arial" w:hAnsi="Arial" w:cs="Arial"/>
          <w:sz w:val="36"/>
          <w:szCs w:val="36"/>
          <w:lang w:val="en-US"/>
        </w:rPr>
        <w:t xml:space="preserve"> </w:t>
      </w:r>
      <w:r w:rsidR="00E455CB" w:rsidRPr="00275395">
        <w:rPr>
          <w:rFonts w:ascii="Arial" w:hAnsi="Arial" w:cs="Arial"/>
          <w:sz w:val="36"/>
          <w:szCs w:val="36"/>
          <w:lang w:val="en-US"/>
        </w:rPr>
        <w:t>M</w:t>
      </w:r>
      <w:r w:rsidRPr="00275395">
        <w:rPr>
          <w:rFonts w:ascii="Arial" w:hAnsi="Arial" w:cs="Arial"/>
          <w:sz w:val="36"/>
          <w:szCs w:val="36"/>
          <w:lang w:val="en-US"/>
        </w:rPr>
        <w:t>aterials</w:t>
      </w:r>
    </w:p>
    <w:p w14:paraId="78109D31" w14:textId="27F60B87" w:rsidR="0085704D" w:rsidRPr="003E31D1" w:rsidRDefault="0085704D">
      <w:pPr>
        <w:pStyle w:val="Title"/>
        <w:spacing w:line="360" w:lineRule="auto"/>
        <w:rPr>
          <w:rFonts w:ascii="Arial" w:hAnsi="Arial" w:cs="Arial"/>
          <w:b/>
          <w:bCs/>
          <w:sz w:val="28"/>
          <w:szCs w:val="28"/>
          <w:lang w:val="en-US"/>
        </w:rPr>
      </w:pPr>
      <w:r w:rsidRPr="003E31D1">
        <w:rPr>
          <w:rFonts w:ascii="Arial" w:hAnsi="Arial" w:cs="Arial"/>
          <w:b/>
          <w:bCs/>
          <w:sz w:val="28"/>
          <w:szCs w:val="28"/>
          <w:lang w:val="en-US"/>
        </w:rPr>
        <w:t>Supplemental Methods</w:t>
      </w:r>
    </w:p>
    <w:p w14:paraId="27E63F13" w14:textId="77777777" w:rsidR="00FB1726" w:rsidRPr="00981E84" w:rsidRDefault="00FB1726" w:rsidP="00FB1726">
      <w:pPr>
        <w:pStyle w:val="EndNoteBibliography"/>
        <w:keepNext/>
        <w:spacing w:line="360" w:lineRule="auto"/>
        <w:rPr>
          <w:b/>
          <w:bCs/>
        </w:rPr>
      </w:pPr>
      <w:r w:rsidRPr="00981E84">
        <w:rPr>
          <w:b/>
          <w:bCs/>
        </w:rPr>
        <w:t>Propensity score matching</w:t>
      </w:r>
    </w:p>
    <w:p w14:paraId="470E772C" w14:textId="77777777" w:rsidR="00FB1726" w:rsidRDefault="00FB1726" w:rsidP="00011511">
      <w:pPr>
        <w:pStyle w:val="EndNoteBibliography"/>
        <w:spacing w:line="360" w:lineRule="auto"/>
        <w:ind w:firstLine="360"/>
        <w:rPr>
          <w:lang w:val="en-GB"/>
        </w:rPr>
      </w:pPr>
      <w:r>
        <w:t xml:space="preserve">PSM is a quasi-experimental method to construct an artificial control group by matching each treated (control) observation with a control (treated) observation. Two binary populations were used within this analysis for the PSM models: </w:t>
      </w:r>
      <w:r w:rsidRPr="004076AE">
        <w:t xml:space="preserve">patients </w:t>
      </w:r>
      <w:r w:rsidRPr="009E6D7D">
        <w:t>in the treatment personalization group were matched to those with no treatment personalization</w:t>
      </w:r>
      <w:r>
        <w:t>, and patients in the PK-TT group were matched to those in the TT only group.</w:t>
      </w:r>
      <w:r w:rsidRPr="009E6D7D">
        <w:rPr>
          <w:lang w:val="en"/>
        </w:rPr>
        <w:t xml:space="preserve"> </w:t>
      </w:r>
    </w:p>
    <w:p w14:paraId="10FEA077" w14:textId="77777777" w:rsidR="00FB1726" w:rsidRDefault="00FB1726" w:rsidP="00FB1726">
      <w:pPr>
        <w:pStyle w:val="EndNoteBibliography"/>
        <w:spacing w:line="360" w:lineRule="auto"/>
        <w:ind w:firstLine="360"/>
        <w:rPr>
          <w:lang w:val="en-GB"/>
        </w:rPr>
      </w:pPr>
      <w:r w:rsidRPr="00C31A8E">
        <w:rPr>
          <w:lang w:val="en-GB"/>
        </w:rPr>
        <w:t xml:space="preserve">PSM computes the probability, based on key observed characteristics, that a patient will </w:t>
      </w:r>
      <w:r>
        <w:rPr>
          <w:lang w:val="en-GB"/>
        </w:rPr>
        <w:t>have treatment personalisation (‘treated’)</w:t>
      </w:r>
      <w:r w:rsidRPr="00C31A8E">
        <w:rPr>
          <w:lang w:val="en-GB"/>
        </w:rPr>
        <w:t>, generating the propensity score</w:t>
      </w:r>
      <w:r>
        <w:rPr>
          <w:lang w:val="en-GB"/>
        </w:rPr>
        <w:t xml:space="preserve"> (PS)</w:t>
      </w:r>
      <w:r w:rsidRPr="00C31A8E">
        <w:rPr>
          <w:lang w:val="en-GB"/>
        </w:rPr>
        <w:t xml:space="preserve">. Then, treated observations are matched to controls, and vice-versa, based on the propensity score. PSM relies on the assumption that, conditional on some observable characteristics, control patients can be compared </w:t>
      </w:r>
      <w:r>
        <w:rPr>
          <w:lang w:val="en-GB"/>
        </w:rPr>
        <w:t>with</w:t>
      </w:r>
      <w:r w:rsidRPr="00C31A8E">
        <w:rPr>
          <w:lang w:val="en-GB"/>
        </w:rPr>
        <w:t xml:space="preserve"> treated patients, similar to cohorts in which the treatment has been randomized.</w:t>
      </w:r>
    </w:p>
    <w:p w14:paraId="135EA1AA" w14:textId="77777777" w:rsidR="00FB1726" w:rsidRDefault="00FB1726" w:rsidP="00FB1726">
      <w:pPr>
        <w:pStyle w:val="EndNoteBibliography"/>
        <w:spacing w:line="360" w:lineRule="auto"/>
        <w:ind w:firstLine="360"/>
      </w:pPr>
      <w:r>
        <w:t>T</w:t>
      </w:r>
      <w:r w:rsidRPr="00077B83">
        <w:t xml:space="preserve">o assess potential treatment effects of treatment personalisation on the outcomes of interest (sport and total activity), a logistic regression model was specified (one for each outcome of interest) to estimate the propensity score of being treated (patients </w:t>
      </w:r>
      <w:r>
        <w:t>with</w:t>
      </w:r>
      <w:r w:rsidRPr="00077B83">
        <w:t xml:space="preserve"> any treatment personalisation and patients </w:t>
      </w:r>
      <w:r>
        <w:t>with</w:t>
      </w:r>
      <w:r w:rsidRPr="00077B83">
        <w:t xml:space="preserve"> PK-guided treatment personalisation) for all individuals based on a set of observed covariates with no interaction terms.</w:t>
      </w:r>
    </w:p>
    <w:p w14:paraId="306CC595" w14:textId="01DEA8C6" w:rsidR="00FB1726" w:rsidRDefault="00FB1726" w:rsidP="00FB1726">
      <w:pPr>
        <w:pStyle w:val="EndNoteBibliography"/>
        <w:spacing w:line="360" w:lineRule="auto"/>
        <w:ind w:firstLine="360"/>
      </w:pPr>
      <w:r w:rsidRPr="00727790">
        <w:t>Matching covariates were selected based on the results of the univariate and multivariate analysis and established clinical relevance physical activity and accepted disease understanding.</w:t>
      </w:r>
      <w:r>
        <w:t xml:space="preserve"> </w:t>
      </w:r>
      <w:r w:rsidRPr="000D7AA2">
        <w:t xml:space="preserve">It is generally considered reasonable to include variables related to </w:t>
      </w:r>
      <w:r>
        <w:t xml:space="preserve">both </w:t>
      </w:r>
      <w:r w:rsidRPr="000D7AA2">
        <w:t>the outcome of interest and to the assignment of treatment if the sample is large, while it is advisable to concentrate on variables believed to be strongly related to the outcome if the sample is small.</w:t>
      </w:r>
      <w:r>
        <w:fldChar w:fldCharType="begin"/>
      </w:r>
      <w:r w:rsidR="003555C9">
        <w:instrText xml:space="preserve"> ADDIN EN.CITE &lt;EndNote&gt;&lt;Cite&gt;&lt;Author&gt;Benedetto&lt;/Author&gt;&lt;Year&gt;2018&lt;/Year&gt;&lt;RecNum&gt;36&lt;/RecNum&gt;&lt;DisplayText&gt;&lt;style face="superscript"&gt;1&lt;/style&gt;&lt;/DisplayText&gt;&lt;record&gt;&lt;rec-number&gt;36&lt;/rec-number&gt;&lt;foreign-keys&gt;&lt;key app="EN" db-id="5afdw0ff52wv95e00tmpaap6a2sss5e50tr0" timestamp="1726154785"&gt;36&lt;/key&gt;&lt;/foreign-keys&gt;&lt;ref-type name="Journal Article"&gt;17&lt;/ref-type&gt;&lt;contributors&gt;&lt;authors&gt;&lt;author&gt;Benedetto, U.&lt;/author&gt;&lt;author&gt;Head, S. J.&lt;/author&gt;&lt;author&gt;Angelini, G. D.&lt;/author&gt;&lt;author&gt;Blackstone, E. H.&lt;/author&gt;&lt;/authors&gt;&lt;/contributors&gt;&lt;auth-address&gt;Bristol Heart Institute, University of Bristol, School of Clinical Sciences, Bristol, UK.&amp;#xD;Department of Cardiothoracic Surgery, Erasmus Medical Center, Rotterdam, Netherlands.&amp;#xD;Department of Thoracic and Cardiovascular Surgery &amp;amp; Clinical Investigations, Cleveland Clinic Foundation, Cleveland, OH, USA.&lt;/auth-address&gt;&lt;titles&gt;&lt;title&gt;Statistical primer: propensity score matching and its alternatives&lt;/title&gt;&lt;secondary-title&gt;Eur J Cardiothorac Surg&lt;/secondary-title&gt;&lt;/titles&gt;&lt;periodical&gt;&lt;full-title&gt;Eur J Cardiothorac Surg&lt;/full-title&gt;&lt;/periodical&gt;&lt;pages&gt;1112-1117&lt;/pages&gt;&lt;volume&gt;53&lt;/volume&gt;&lt;number&gt;6&lt;/number&gt;&lt;keywords&gt;&lt;keyword&gt;Humans&lt;/keyword&gt;&lt;keyword&gt;*Models, Statistical&lt;/keyword&gt;&lt;keyword&gt;*Propensity Score&lt;/keyword&gt;&lt;keyword&gt;Randomized Controlled Trials as Topic&lt;/keyword&gt;&lt;/keywords&gt;&lt;dates&gt;&lt;year&gt;2018&lt;/year&gt;&lt;pub-dates&gt;&lt;date&gt;Jun 1&lt;/date&gt;&lt;/pub-dates&gt;&lt;/dates&gt;&lt;isbn&gt;1873-734X (Electronic)&amp;#xD;1010-7940 (Linking)&lt;/isbn&gt;&lt;accession-num&gt;29684154&lt;/accession-num&gt;&lt;urls&gt;&lt;related-urls&gt;&lt;url&gt;https://www.ncbi.nlm.nih.gov/pubmed/29684154&lt;/url&gt;&lt;/related-urls&gt;&lt;/urls&gt;&lt;electronic-resource-num&gt;10.1093/ejcts/ezy167&lt;/electronic-resource-num&gt;&lt;remote-database-name&gt;Medline&lt;/remote-database-name&gt;&lt;remote-database-provider&gt;NLM&lt;/remote-database-provider&gt;&lt;/record&gt;&lt;/Cite&gt;&lt;/EndNote&gt;</w:instrText>
      </w:r>
      <w:r>
        <w:fldChar w:fldCharType="separate"/>
      </w:r>
      <w:r w:rsidR="003555C9" w:rsidRPr="003555C9">
        <w:rPr>
          <w:vertAlign w:val="superscript"/>
        </w:rPr>
        <w:t>1</w:t>
      </w:r>
      <w:r>
        <w:fldChar w:fldCharType="end"/>
      </w:r>
      <w:r w:rsidRPr="000D7AA2">
        <w:t xml:space="preserve"> Therefore for this analysis, variables that are related to the outcome, regardless of whether they are related to exposure, </w:t>
      </w:r>
      <w:r>
        <w:t xml:space="preserve">were included in the model, </w:t>
      </w:r>
      <w:r w:rsidRPr="000D7AA2">
        <w:t xml:space="preserve">as the goal of a </w:t>
      </w:r>
      <w:r>
        <w:t>PS</w:t>
      </w:r>
      <w:r w:rsidRPr="000D7AA2">
        <w:t xml:space="preserve"> model is to match patients with comparable clinical profiles and general characteristics.</w:t>
      </w:r>
      <w:r>
        <w:fldChar w:fldCharType="begin">
          <w:fldData xml:space="preserve">PEVuZE5vdGU+PENpdGU+PEF1dGhvcj5Ccm9va2hhcnQ8L0F1dGhvcj48WWVhcj4yMDA2PC9ZZWFy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</w:fldData>
        </w:fldChar>
      </w:r>
      <w:r w:rsidR="003555C9">
        <w:instrText xml:space="preserve"> ADDIN EN.CITE </w:instrText>
      </w:r>
      <w:r w:rsidR="003555C9">
        <w:fldChar w:fldCharType="begin">
          <w:fldData xml:space="preserve">PEVuZE5vdGU+PENpdGU+PEF1dGhvcj5Ccm9va2hhcnQ8L0F1dGhvcj48WWVhcj4yMDA2PC9ZZWFy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</w:fldData>
        </w:fldChar>
      </w:r>
      <w:r w:rsidR="003555C9">
        <w:instrText xml:space="preserve"> ADDIN EN.CITE.DATA </w:instrText>
      </w:r>
      <w:r w:rsidR="003555C9">
        <w:fldChar w:fldCharType="end"/>
      </w:r>
      <w:r>
        <w:fldChar w:fldCharType="separate"/>
      </w:r>
      <w:r w:rsidR="003555C9" w:rsidRPr="003555C9">
        <w:rPr>
          <w:vertAlign w:val="superscript"/>
        </w:rPr>
        <w:t>2,3</w:t>
      </w:r>
      <w:r>
        <w:fldChar w:fldCharType="end"/>
      </w:r>
    </w:p>
    <w:p w14:paraId="57E4C243" w14:textId="4E3B010A" w:rsidR="00FB1726" w:rsidRDefault="00FB1726" w:rsidP="00FB1726">
      <w:pPr>
        <w:pStyle w:val="EndNoteBibliography"/>
        <w:spacing w:line="360" w:lineRule="auto"/>
        <w:ind w:firstLine="360"/>
      </w:pPr>
      <w:r w:rsidRPr="00023CC6">
        <w:t>All patients belonging to the treatment group were then matched to the observation with the closest PS (i.e</w:t>
      </w:r>
      <w:r>
        <w:t>.</w:t>
      </w:r>
      <w:r w:rsidRPr="00023CC6">
        <w:t xml:space="preserve"> with a similar probability of being treated) in the control group and vice versa (i.e. each observation in the treatment group </w:t>
      </w:r>
      <w:r>
        <w:t>was</w:t>
      </w:r>
      <w:r w:rsidRPr="00023CC6">
        <w:t xml:space="preserve"> matched with one observation in the control group and each observation in the control group </w:t>
      </w:r>
      <w:r>
        <w:t>was</w:t>
      </w:r>
      <w:r w:rsidRPr="00023CC6">
        <w:t xml:space="preserve"> matched to one observation in the treatment group). This balances the sample across treated and control groups, observing the difference in the outcome of interest, allowing for an unbiased estimate of the treatment </w:t>
      </w:r>
      <w:r w:rsidRPr="00023CC6">
        <w:lastRenderedPageBreak/>
        <w:t>effect</w:t>
      </w:r>
      <w:r>
        <w:t xml:space="preserve"> (ATE and ATT)</w:t>
      </w:r>
      <w:r w:rsidRPr="00023CC6">
        <w:t>.</w:t>
      </w:r>
      <w:r>
        <w:t xml:space="preserve"> In a randomised controlled trial, randomisation ensures that ATE and ATT are not substantially different because the treated population does not differ, on average, from the overall study population.</w:t>
      </w:r>
      <w:r>
        <w:fldChar w:fldCharType="begin"/>
      </w:r>
      <w:r w:rsidR="003555C9">
        <w:instrText xml:space="preserve"> ADDIN EN.CITE &lt;EndNote&gt;&lt;Cite&gt;&lt;Author&gt;Austin&lt;/Author&gt;&lt;Year&gt;2011&lt;/Year&gt;&lt;RecNum&gt;38&lt;/RecNum&gt;&lt;DisplayText&gt;&lt;style face="superscript"&gt;4&lt;/style&gt;&lt;/DisplayText&gt;&lt;record&gt;&lt;rec-number&gt;38&lt;/rec-number&gt;&lt;foreign-keys&gt;&lt;key app="EN" db-id="5afdw0ff52wv95e00tmpaap6a2sss5e50tr0" timestamp="1726477790"&gt;38&lt;/key&gt;&lt;/foreign-keys&gt;&lt;ref-type name="Journal Article"&gt;17&lt;/ref-type&gt;&lt;contributors&gt;&lt;authors&gt;&lt;author&gt;Austin, P. C.&lt;/author&gt;&lt;/authors&gt;&lt;/contributors&gt;&lt;auth-address&gt;Institute for Clinical Evaluative Sciences Department of Health Management, Policy and Evaluation, University of Toronto.&lt;/auth-address&gt;&lt;titles&gt;&lt;title&gt;An Introduction to Propensity Score Methods for Reducing the Effects of Confounding in Observational Studies&lt;/title&gt;&lt;secondary-title&gt;Multivariate Behav Res&lt;/secondary-title&gt;&lt;/titles&gt;&lt;periodical&gt;&lt;full-title&gt;Multivariate Behav Res&lt;/full-title&gt;&lt;/periodical&gt;&lt;pages&gt;399-424&lt;/pages&gt;&lt;volume&gt;46&lt;/volume&gt;&lt;number&gt;3&lt;/number&gt;&lt;edition&gt;20110608&lt;/edition&gt;&lt;dates&gt;&lt;year&gt;2011&lt;/year&gt;&lt;pub-dates&gt;&lt;date&gt;May&lt;/date&gt;&lt;/pub-dates&gt;&lt;/dates&gt;&lt;isbn&gt;1532-7906 (Electronic)&amp;#xD;0027-3171 (Print)&amp;#xD;0027-3171 (Linking)&lt;/isbn&gt;&lt;accession-num&gt;21818162&lt;/accession-num&gt;&lt;urls&gt;&lt;related-urls&gt;&lt;url&gt;https://www.ncbi.nlm.nih.gov/pubmed/21818162&lt;/url&gt;&lt;/related-urls&gt;&lt;/urls&gt;&lt;custom2&gt;PMC3144483&lt;/custom2&gt;&lt;electronic-resource-num&gt;10.1080/00273171.2011.568786&lt;/electronic-resource-num&gt;&lt;remote-database-name&gt;PubMed-not-MEDLINE&lt;/remote-database-name&gt;&lt;remote-database-provider&gt;NLM&lt;/remote-database-provider&gt;&lt;/record&gt;&lt;/Cite&gt;&lt;/EndNote&gt;</w:instrText>
      </w:r>
      <w:r>
        <w:fldChar w:fldCharType="separate"/>
      </w:r>
      <w:r w:rsidR="003555C9" w:rsidRPr="003555C9">
        <w:rPr>
          <w:vertAlign w:val="superscript"/>
        </w:rPr>
        <w:t>4</w:t>
      </w:r>
      <w:r>
        <w:fldChar w:fldCharType="end"/>
      </w:r>
    </w:p>
    <w:p w14:paraId="7DFD7C12" w14:textId="717BBAB6" w:rsidR="00FB1726" w:rsidRDefault="00FB1726" w:rsidP="00FB1726">
      <w:pPr>
        <w:pStyle w:val="EndNoteBibliography"/>
        <w:spacing w:line="360" w:lineRule="auto"/>
        <w:ind w:firstLine="360"/>
        <w:rPr>
          <w:b/>
          <w:bCs/>
        </w:rPr>
      </w:pPr>
      <w:r w:rsidRPr="00FF21A1">
        <w:rPr>
          <w:lang w:val="en-GB"/>
        </w:rPr>
        <w:t>Matching was performed with replacement, which allows controls to be used as matches for more than one treated individual (or more than one treated individual to be used as a match for more than one control individual)</w:t>
      </w:r>
      <w:r>
        <w:rPr>
          <w:lang w:val="en-GB"/>
        </w:rPr>
        <w:t>.</w:t>
      </w:r>
      <w:r w:rsidRPr="00FF21A1">
        <w:rPr>
          <w:lang w:val="en-GB"/>
        </w:rPr>
        <w:t xml:space="preserve"> </w:t>
      </w:r>
      <w:r>
        <w:rPr>
          <w:lang w:val="en-GB"/>
        </w:rPr>
        <w:t>T</w:t>
      </w:r>
      <w:r w:rsidRPr="00FF21A1">
        <w:rPr>
          <w:lang w:val="en-GB"/>
        </w:rPr>
        <w:t xml:space="preserve">his is </w:t>
      </w:r>
      <w:r>
        <w:rPr>
          <w:lang w:val="en-GB"/>
        </w:rPr>
        <w:t>advantageous</w:t>
      </w:r>
      <w:r w:rsidRPr="00FF21A1">
        <w:rPr>
          <w:lang w:val="en-GB"/>
        </w:rPr>
        <w:t xml:space="preserve"> when there are few controls compared </w:t>
      </w:r>
      <w:r>
        <w:rPr>
          <w:lang w:val="en-GB"/>
        </w:rPr>
        <w:t>with</w:t>
      </w:r>
      <w:r w:rsidRPr="00FF21A1">
        <w:rPr>
          <w:lang w:val="en-GB"/>
        </w:rPr>
        <w:t xml:space="preserve"> the treated individuals</w:t>
      </w:r>
      <w:r>
        <w:rPr>
          <w:lang w:val="en-GB"/>
        </w:rPr>
        <w:t>, as it often contributes to</w:t>
      </w:r>
      <w:r w:rsidRPr="00FF21A1">
        <w:rPr>
          <w:lang w:val="en-GB"/>
        </w:rPr>
        <w:t xml:space="preserve"> reducing bias</w:t>
      </w:r>
      <w:r>
        <w:rPr>
          <w:lang w:val="en-GB"/>
        </w:rPr>
        <w:t xml:space="preserve"> in the estimation of treatment effects</w:t>
      </w:r>
      <w:r w:rsidRPr="00FF21A1">
        <w:rPr>
          <w:lang w:val="en-GB"/>
        </w:rPr>
        <w:t>.</w:t>
      </w:r>
      <w:r>
        <w:rPr>
          <w:lang w:val="en-GB"/>
        </w:rPr>
        <w:fldChar w:fldCharType="begin">
          <w:fldData xml:space="preserve">PEVuZE5vdGU+PENpdGU+PEF1dGhvcj5EZWhlamlhPC9BdXRob3I+PFllYXI+MTk5OTwvWWVhcj48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</w:fldData>
        </w:fldChar>
      </w:r>
      <w:r w:rsidR="003555C9">
        <w:rPr>
          <w:lang w:val="en-GB"/>
        </w:rPr>
        <w:instrText xml:space="preserve"> ADDIN EN.CITE </w:instrText>
      </w:r>
      <w:r w:rsidR="003555C9">
        <w:rPr>
          <w:lang w:val="en-GB"/>
        </w:rPr>
        <w:fldChar w:fldCharType="begin">
          <w:fldData xml:space="preserve">PEVuZE5vdGU+PENpdGU+PEF1dGhvcj5EZWhlamlhPC9BdXRob3I+PFllYXI+MTk5OTwvWWVhcj48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</w:fldData>
        </w:fldChar>
      </w:r>
      <w:r w:rsidR="003555C9">
        <w:rPr>
          <w:lang w:val="en-GB"/>
        </w:rPr>
        <w:instrText xml:space="preserve"> ADDIN EN.CITE.DATA </w:instrText>
      </w:r>
      <w:r w:rsidR="003555C9">
        <w:rPr>
          <w:lang w:val="en-GB"/>
        </w:rPr>
      </w:r>
      <w:r w:rsidR="003555C9">
        <w:rPr>
          <w:lang w:val="en-GB"/>
        </w:rPr>
        <w:fldChar w:fldCharType="end"/>
      </w:r>
      <w:r>
        <w:rPr>
          <w:lang w:val="en-GB"/>
        </w:rPr>
      </w:r>
      <w:r>
        <w:rPr>
          <w:lang w:val="en-GB"/>
        </w:rPr>
        <w:fldChar w:fldCharType="separate"/>
      </w:r>
      <w:r w:rsidR="003555C9" w:rsidRPr="003555C9">
        <w:rPr>
          <w:vertAlign w:val="superscript"/>
          <w:lang w:val="en-GB"/>
        </w:rPr>
        <w:t>5,6</w:t>
      </w:r>
      <w:r>
        <w:rPr>
          <w:lang w:val="en-GB"/>
        </w:rPr>
        <w:fldChar w:fldCharType="end"/>
      </w:r>
      <w:r w:rsidRPr="00FF21A1">
        <w:rPr>
          <w:lang w:val="en-GB"/>
        </w:rPr>
        <w:t xml:space="preserve"> As matching was performed with replacement, the proportion of unmatched control observations are reported for each of the models.</w:t>
      </w:r>
    </w:p>
    <w:p w14:paraId="5A5C7F70" w14:textId="77777777" w:rsidR="00FB1726" w:rsidRPr="00981E84" w:rsidRDefault="00FB1726" w:rsidP="00FB1726">
      <w:pPr>
        <w:pStyle w:val="EndNoteBibliography"/>
        <w:spacing w:line="360" w:lineRule="auto"/>
        <w:rPr>
          <w:b/>
          <w:bCs/>
        </w:rPr>
      </w:pPr>
      <w:r w:rsidRPr="00981E84">
        <w:rPr>
          <w:b/>
          <w:bCs/>
        </w:rPr>
        <w:t>PSM sensitivity analysis</w:t>
      </w:r>
    </w:p>
    <w:p w14:paraId="2991E347" w14:textId="5E7B770D" w:rsidR="00FB1726" w:rsidRPr="00981E84" w:rsidRDefault="00FB1726" w:rsidP="00FB1726">
      <w:pPr>
        <w:pStyle w:val="EndNoteBibliography"/>
        <w:spacing w:line="360" w:lineRule="auto"/>
        <w:ind w:firstLine="360"/>
      </w:pPr>
      <w:r w:rsidRPr="00981E84">
        <w:t xml:space="preserve">Balance plots, which allow for visual comparisons between the unmatched and matched populations in order to assess the quality of the matching process, are based on the propensity scores estimated for the treated and control group. They quantify graphically how balanced the estimated propensity score is between the two groups, pre and post matching. Remaining uncertainty sensitivity to an unobserved variable was assessed using Rosenbaum bounds, which examine how strong the correlations would have to be between a hypothetical unobserved covariate and both treatment assignment to render the observed treatment effect null. </w:t>
      </w:r>
      <w:r>
        <w:t>Specifically,</w:t>
      </w:r>
      <w:r w:rsidRPr="00981E84">
        <w:t xml:space="preserve"> </w:t>
      </w:r>
      <w:r>
        <w:t>Rosenbaum bounds</w:t>
      </w:r>
      <w:r w:rsidRPr="00981E84">
        <w:t xml:space="preserve"> identify the threshold at which hidden bias through an unobserved covariate would affect the statistical significance of the ATT, via Wilcoxon signed rank tests performed at increasing levels of hypothetical hidden bias.</w:t>
      </w:r>
      <w:r>
        <w:fldChar w:fldCharType="begin"/>
      </w:r>
      <w:r w:rsidR="003555C9">
        <w:instrText xml:space="preserve"> ADDIN EN.CITE &lt;EndNote&gt;&lt;Cite&gt;&lt;Author&gt;DiPrete&lt;/Author&gt;&lt;Year&gt;2004&lt;/Year&gt;&lt;RecNum&gt;41&lt;/RecNum&gt;&lt;DisplayText&gt;&lt;style face="superscript"&gt;7,8&lt;/style&gt;&lt;/DisplayText&gt;&lt;record&gt;&lt;rec-number&gt;41&lt;/rec-number&gt;&lt;foreign-keys&gt;&lt;key app="EN" db-id="5afdw0ff52wv95e00tmpaap6a2sss5e50tr0" timestamp="1726479242"&gt;41&lt;/key&gt;&lt;/foreign-keys&gt;&lt;ref-type name="Journal Article"&gt;17&lt;/ref-type&gt;&lt;contributors&gt;&lt;authors&gt;&lt;author&gt;DiPrete,T.A.&lt;/author&gt;&lt;author&gt;Gangl,M.&lt;/author&gt;&lt;/authors&gt;&lt;/contributors&gt;&lt;titles&gt;&lt;title&gt;7. Assessing Bias in the Estimation of Causal Effects: Rosenbaum Bounds on Matching Estimators and Instrumental Variables Estimation with Imperfect Instruments&lt;/title&gt;&lt;secondary-title&gt;Sociol Methodol&lt;/secondary-title&gt;&lt;/titles&gt;&lt;periodical&gt;&lt;full-title&gt;Sociol Methodol&lt;/full-title&gt;&lt;/periodical&gt;&lt;pages&gt;271-310&lt;/pages&gt;&lt;volume&gt;34&lt;/volume&gt;&lt;dates&gt;&lt;year&gt;2004&lt;/year&gt;&lt;/dates&gt;&lt;urls&gt;&lt;/urls&gt;&lt;/record&gt;&lt;/Cite&gt;&lt;Cite&gt;&lt;Author&gt;Becker&lt;/Author&gt;&lt;Year&gt;2007&lt;/Year&gt;&lt;RecNum&gt;42&lt;/RecNum&gt;&lt;record&gt;&lt;rec-number&gt;42&lt;/rec-number&gt;&lt;foreign-keys&gt;&lt;key app="EN" db-id="5afdw0ff52wv95e00tmpaap6a2sss5e50tr0" timestamp="1726479709"&gt;42&lt;/key&gt;&lt;/foreign-keys&gt;&lt;ref-type name="Journal Article"&gt;17&lt;/ref-type&gt;&lt;contributors&gt;&lt;authors&gt;&lt;author&gt;Becker,S.O.&lt;/author&gt;&lt;author&gt;Caliendo,M. &lt;/author&gt;&lt;/authors&gt;&lt;/contributors&gt;&lt;titles&gt;&lt;title&gt;Sensitivity analysis for average treatment effects&lt;/title&gt;&lt;secondary-title&gt;Stata J&lt;/secondary-title&gt;&lt;/titles&gt;&lt;periodical&gt;&lt;full-title&gt;Stata J&lt;/full-title&gt;&lt;/periodical&gt;&lt;pages&gt;71-83&lt;/pages&gt;&lt;volume&gt;7&lt;/volume&gt;&lt;dates&gt;&lt;year&gt;2007&lt;/year&gt;&lt;/dates&gt;&lt;urls&gt;&lt;/urls&gt;&lt;/record&gt;&lt;/Cite&gt;&lt;/EndNote&gt;</w:instrText>
      </w:r>
      <w:r>
        <w:fldChar w:fldCharType="separate"/>
      </w:r>
      <w:r w:rsidR="003555C9" w:rsidRPr="003555C9">
        <w:rPr>
          <w:vertAlign w:val="superscript"/>
        </w:rPr>
        <w:t>7,8</w:t>
      </w:r>
      <w:r>
        <w:fldChar w:fldCharType="end"/>
      </w:r>
      <w:r w:rsidRPr="00981E84">
        <w:t xml:space="preserve"> In this context, hidden bias is represented by the odds ratio of differential treatment assignment due to an unobserved covariate, refered to as gamma values. Higher gamma values indicate greater tolerance to unmeasured confounding, implying that the observed treatment effect is robust against potential hidden biases.</w:t>
      </w:r>
      <w:r>
        <w:t xml:space="preserve"> </w:t>
      </w:r>
    </w:p>
    <w:p w14:paraId="4D8A999C" w14:textId="77777777" w:rsidR="00FB1726" w:rsidRPr="00275395" w:rsidRDefault="00FB1726">
      <w:pPr>
        <w:pStyle w:val="Title"/>
        <w:spacing w:line="360" w:lineRule="auto"/>
        <w:rPr>
          <w:rFonts w:ascii="Arial" w:hAnsi="Arial" w:cs="Arial"/>
          <w:sz w:val="36"/>
          <w:szCs w:val="36"/>
          <w:lang w:val="en-US"/>
        </w:rPr>
      </w:pPr>
    </w:p>
    <w:p w14:paraId="430FBEB2" w14:textId="77777777" w:rsidR="0085704D" w:rsidRDefault="0085704D" w:rsidP="008A2BD8">
      <w:pPr>
        <w:pStyle w:val="Caption"/>
        <w:spacing w:after="0" w:line="360" w:lineRule="auto"/>
        <w:rPr>
          <w:b/>
          <w:i w:val="0"/>
          <w:color w:val="000000"/>
          <w:sz w:val="22"/>
          <w:lang w:val="en-US"/>
        </w:rPr>
        <w:sectPr w:rsidR="0085704D" w:rsidSect="00B66484">
          <w:pgSz w:w="11906" w:h="16838"/>
          <w:pgMar w:top="1440" w:right="1440" w:bottom="1440" w:left="1440" w:header="709" w:footer="709" w:gutter="0"/>
          <w:cols w:space="708"/>
          <w:docGrid w:linePitch="360"/>
        </w:sectPr>
      </w:pPr>
      <w:bookmarkStart w:id="1" w:name="_Ref14404512"/>
    </w:p>
    <w:p w14:paraId="0583FAFE" w14:textId="7CEEB6F0" w:rsidR="000F4A12" w:rsidRPr="004037E5" w:rsidRDefault="000F4A12" w:rsidP="008A2BD8">
      <w:pPr>
        <w:pStyle w:val="Caption"/>
        <w:spacing w:after="0" w:line="360" w:lineRule="auto"/>
        <w:rPr>
          <w:b/>
          <w:bCs/>
          <w:i w:val="0"/>
          <w:color w:val="000000"/>
          <w:sz w:val="22"/>
          <w:lang w:val="en-US"/>
        </w:rPr>
      </w:pPr>
      <w:r w:rsidRPr="004037E5">
        <w:rPr>
          <w:b/>
          <w:i w:val="0"/>
          <w:color w:val="000000"/>
          <w:sz w:val="22"/>
          <w:lang w:val="en-US"/>
        </w:rPr>
        <w:lastRenderedPageBreak/>
        <w:t>T</w:t>
      </w:r>
      <w:r w:rsidR="009E0532" w:rsidRPr="004037E5">
        <w:rPr>
          <w:b/>
          <w:i w:val="0"/>
          <w:color w:val="000000"/>
          <w:sz w:val="22"/>
          <w:lang w:val="en-US"/>
        </w:rPr>
        <w:t>ABLE</w:t>
      </w:r>
      <w:r w:rsidRPr="004037E5">
        <w:rPr>
          <w:b/>
          <w:i w:val="0"/>
          <w:color w:val="000000"/>
          <w:sz w:val="22"/>
          <w:lang w:val="en-US"/>
        </w:rPr>
        <w:t xml:space="preserve"> </w:t>
      </w:r>
      <w:r w:rsidR="009E0532" w:rsidRPr="004037E5">
        <w:rPr>
          <w:b/>
          <w:i w:val="0"/>
          <w:color w:val="000000"/>
          <w:sz w:val="22"/>
          <w:lang w:val="en-US"/>
        </w:rPr>
        <w:t>S</w:t>
      </w:r>
      <w:r w:rsidR="00C14927">
        <w:rPr>
          <w:b/>
          <w:i w:val="0"/>
          <w:color w:val="000000"/>
          <w:sz w:val="22"/>
          <w:lang w:val="en-US"/>
        </w:rPr>
        <w:t>1</w:t>
      </w:r>
      <w:bookmarkEnd w:id="1"/>
      <w:r w:rsidRPr="004037E5">
        <w:rPr>
          <w:b/>
          <w:i w:val="0"/>
          <w:color w:val="000000"/>
          <w:sz w:val="22"/>
          <w:lang w:val="en-US"/>
        </w:rPr>
        <w:t xml:space="preserve">. </w:t>
      </w:r>
      <w:r w:rsidR="00F32307" w:rsidRPr="004037E5">
        <w:rPr>
          <w:b/>
          <w:bCs/>
          <w:i w:val="0"/>
          <w:color w:val="000000"/>
          <w:sz w:val="22"/>
          <w:lang w:val="en-US"/>
        </w:rPr>
        <w:t>Pre and post matching characteristics across treatment personalization.</w:t>
      </w:r>
    </w:p>
    <w:tbl>
      <w:tblPr>
        <w:tblStyle w:val="TableGrid1"/>
        <w:tblW w:w="0" w:type="auto"/>
        <w:tblLook w:val="04A0" w:firstRow="1" w:lastRow="0" w:firstColumn="1" w:lastColumn="0" w:noHBand="0" w:noVBand="1"/>
      </w:tblPr>
      <w:tblGrid>
        <w:gridCol w:w="1984"/>
        <w:gridCol w:w="1496"/>
        <w:gridCol w:w="1496"/>
        <w:gridCol w:w="1496"/>
        <w:gridCol w:w="1496"/>
        <w:gridCol w:w="1495"/>
        <w:gridCol w:w="1495"/>
        <w:gridCol w:w="1495"/>
        <w:gridCol w:w="1495"/>
      </w:tblGrid>
      <w:tr w:rsidR="00995450" w:rsidRPr="004037E5" w14:paraId="120D71BE" w14:textId="77777777" w:rsidTr="00144488">
        <w:tc>
          <w:tcPr>
            <w:tcW w:w="1984" w:type="dxa"/>
            <w:vMerge w:val="restart"/>
          </w:tcPr>
          <w:p w14:paraId="5BF2736A" w14:textId="77777777" w:rsidR="00995450" w:rsidRPr="004037E5" w:rsidRDefault="00995450" w:rsidP="00995450">
            <w:pPr>
              <w:rPr>
                <w:rFonts w:cs="Arial"/>
                <w:b/>
                <w:bCs/>
                <w:noProof/>
              </w:rPr>
            </w:pPr>
            <w:r w:rsidRPr="004037E5">
              <w:rPr>
                <w:rFonts w:cs="Arial"/>
                <w:b/>
                <w:bCs/>
                <w:noProof/>
              </w:rPr>
              <w:t>Characteristic</w:t>
            </w:r>
          </w:p>
        </w:tc>
        <w:tc>
          <w:tcPr>
            <w:tcW w:w="2992" w:type="dxa"/>
            <w:gridSpan w:val="2"/>
          </w:tcPr>
          <w:p w14:paraId="7F427EC6" w14:textId="77777777" w:rsidR="00995450" w:rsidRPr="004037E5" w:rsidRDefault="00995450" w:rsidP="00995450">
            <w:pPr>
              <w:jc w:val="center"/>
              <w:rPr>
                <w:rFonts w:cs="Arial"/>
                <w:b/>
                <w:bCs/>
                <w:noProof/>
              </w:rPr>
            </w:pPr>
            <w:r w:rsidRPr="004037E5">
              <w:rPr>
                <w:rFonts w:cs="Arial"/>
                <w:b/>
                <w:bCs/>
                <w:noProof/>
              </w:rPr>
              <w:t>Pre matching</w:t>
            </w:r>
          </w:p>
        </w:tc>
        <w:tc>
          <w:tcPr>
            <w:tcW w:w="2992" w:type="dxa"/>
            <w:gridSpan w:val="2"/>
          </w:tcPr>
          <w:p w14:paraId="350666E5" w14:textId="77777777" w:rsidR="00995450" w:rsidRPr="004037E5" w:rsidRDefault="00995450" w:rsidP="00995450">
            <w:pPr>
              <w:jc w:val="center"/>
              <w:rPr>
                <w:rFonts w:cs="Arial"/>
                <w:b/>
                <w:bCs/>
                <w:noProof/>
              </w:rPr>
            </w:pPr>
            <w:r w:rsidRPr="004037E5">
              <w:rPr>
                <w:rFonts w:cs="Arial"/>
                <w:b/>
                <w:bCs/>
                <w:noProof/>
              </w:rPr>
              <w:t>Post matching</w:t>
            </w:r>
          </w:p>
        </w:tc>
        <w:tc>
          <w:tcPr>
            <w:tcW w:w="2990" w:type="dxa"/>
            <w:gridSpan w:val="2"/>
          </w:tcPr>
          <w:p w14:paraId="51A6277F" w14:textId="77777777" w:rsidR="00995450" w:rsidRPr="004037E5" w:rsidRDefault="00995450" w:rsidP="00995450">
            <w:pPr>
              <w:jc w:val="center"/>
              <w:rPr>
                <w:rFonts w:cs="Arial"/>
                <w:b/>
                <w:bCs/>
                <w:noProof/>
              </w:rPr>
            </w:pPr>
            <w:r w:rsidRPr="004037E5">
              <w:rPr>
                <w:rFonts w:cs="Arial"/>
                <w:b/>
                <w:bCs/>
                <w:noProof/>
              </w:rPr>
              <w:t>Pre matching</w:t>
            </w:r>
          </w:p>
        </w:tc>
        <w:tc>
          <w:tcPr>
            <w:tcW w:w="2990" w:type="dxa"/>
            <w:gridSpan w:val="2"/>
          </w:tcPr>
          <w:p w14:paraId="6E4617D6" w14:textId="77777777" w:rsidR="00995450" w:rsidRPr="004037E5" w:rsidRDefault="00995450" w:rsidP="00995450">
            <w:pPr>
              <w:jc w:val="center"/>
              <w:rPr>
                <w:rFonts w:cs="Arial"/>
                <w:b/>
                <w:bCs/>
                <w:noProof/>
              </w:rPr>
            </w:pPr>
            <w:r w:rsidRPr="004037E5">
              <w:rPr>
                <w:rFonts w:cs="Arial"/>
                <w:b/>
                <w:bCs/>
                <w:noProof/>
              </w:rPr>
              <w:t>Post matching</w:t>
            </w:r>
          </w:p>
        </w:tc>
      </w:tr>
      <w:tr w:rsidR="00995450" w:rsidRPr="004037E5" w14:paraId="453E0290" w14:textId="77777777" w:rsidTr="00144488">
        <w:tc>
          <w:tcPr>
            <w:tcW w:w="1984" w:type="dxa"/>
            <w:vMerge/>
          </w:tcPr>
          <w:p w14:paraId="28D14963" w14:textId="77777777" w:rsidR="00995450" w:rsidRPr="004037E5" w:rsidRDefault="00995450" w:rsidP="00995450">
            <w:pPr>
              <w:rPr>
                <w:rFonts w:cs="Arial"/>
                <w:b/>
                <w:bCs/>
                <w:noProof/>
              </w:rPr>
            </w:pPr>
          </w:p>
        </w:tc>
        <w:tc>
          <w:tcPr>
            <w:tcW w:w="2992" w:type="dxa"/>
            <w:gridSpan w:val="2"/>
          </w:tcPr>
          <w:p w14:paraId="7FF919C0" w14:textId="77777777" w:rsidR="00995450" w:rsidRPr="004037E5" w:rsidRDefault="00995450" w:rsidP="00995450">
            <w:pPr>
              <w:jc w:val="center"/>
              <w:rPr>
                <w:rFonts w:cs="Arial"/>
                <w:b/>
                <w:bCs/>
                <w:noProof/>
              </w:rPr>
            </w:pPr>
            <w:r w:rsidRPr="004037E5">
              <w:rPr>
                <w:rFonts w:cs="Arial"/>
                <w:b/>
                <w:bCs/>
                <w:noProof/>
              </w:rPr>
              <w:t>Personalized treatment</w:t>
            </w:r>
          </w:p>
        </w:tc>
        <w:tc>
          <w:tcPr>
            <w:tcW w:w="2992" w:type="dxa"/>
            <w:gridSpan w:val="2"/>
          </w:tcPr>
          <w:p w14:paraId="125DE333" w14:textId="77777777" w:rsidR="00995450" w:rsidRPr="004037E5" w:rsidRDefault="00995450" w:rsidP="00995450">
            <w:pPr>
              <w:jc w:val="center"/>
              <w:rPr>
                <w:rFonts w:cs="Arial"/>
                <w:b/>
                <w:bCs/>
                <w:noProof/>
              </w:rPr>
            </w:pPr>
            <w:r w:rsidRPr="004037E5">
              <w:rPr>
                <w:rFonts w:cs="Arial"/>
                <w:b/>
                <w:bCs/>
                <w:noProof/>
              </w:rPr>
              <w:t>Personalized treatment</w:t>
            </w:r>
          </w:p>
        </w:tc>
        <w:tc>
          <w:tcPr>
            <w:tcW w:w="2990" w:type="dxa"/>
            <w:gridSpan w:val="2"/>
          </w:tcPr>
          <w:p w14:paraId="36E1C62A" w14:textId="77777777" w:rsidR="00995450" w:rsidRPr="004037E5" w:rsidRDefault="00995450" w:rsidP="00995450">
            <w:pPr>
              <w:jc w:val="center"/>
              <w:rPr>
                <w:rFonts w:cs="Arial"/>
                <w:b/>
                <w:bCs/>
                <w:noProof/>
              </w:rPr>
            </w:pPr>
            <w:r w:rsidRPr="004037E5">
              <w:rPr>
                <w:rFonts w:cs="Arial"/>
                <w:b/>
                <w:bCs/>
                <w:noProof/>
              </w:rPr>
              <w:t>PK guidance</w:t>
            </w:r>
          </w:p>
        </w:tc>
        <w:tc>
          <w:tcPr>
            <w:tcW w:w="2990" w:type="dxa"/>
            <w:gridSpan w:val="2"/>
          </w:tcPr>
          <w:p w14:paraId="0E7BFA4D" w14:textId="77777777" w:rsidR="00995450" w:rsidRPr="004037E5" w:rsidRDefault="00995450" w:rsidP="00995450">
            <w:pPr>
              <w:jc w:val="center"/>
              <w:rPr>
                <w:rFonts w:cs="Arial"/>
                <w:b/>
                <w:bCs/>
                <w:noProof/>
              </w:rPr>
            </w:pPr>
            <w:r w:rsidRPr="004037E5">
              <w:rPr>
                <w:rFonts w:cs="Arial"/>
                <w:b/>
                <w:bCs/>
                <w:noProof/>
              </w:rPr>
              <w:t>PK guidance</w:t>
            </w:r>
          </w:p>
        </w:tc>
      </w:tr>
      <w:tr w:rsidR="002032D3" w:rsidRPr="004037E5" w14:paraId="0199A9E0" w14:textId="77777777" w:rsidTr="00144488">
        <w:tc>
          <w:tcPr>
            <w:tcW w:w="1984" w:type="dxa"/>
            <w:vMerge/>
          </w:tcPr>
          <w:p w14:paraId="76F516B1" w14:textId="77777777" w:rsidR="002032D3" w:rsidRPr="004037E5" w:rsidRDefault="002032D3" w:rsidP="002032D3">
            <w:pPr>
              <w:spacing w:after="0"/>
              <w:rPr>
                <w:rFonts w:cs="Arial"/>
                <w:b/>
                <w:bCs/>
                <w:noProof/>
              </w:rPr>
            </w:pPr>
          </w:p>
        </w:tc>
        <w:tc>
          <w:tcPr>
            <w:tcW w:w="1496" w:type="dxa"/>
          </w:tcPr>
          <w:p w14:paraId="4593BFF3" w14:textId="77777777" w:rsidR="002032D3" w:rsidRPr="004037E5" w:rsidRDefault="002032D3" w:rsidP="002032D3">
            <w:pPr>
              <w:spacing w:after="0"/>
              <w:jc w:val="center"/>
              <w:rPr>
                <w:rFonts w:cs="Arial"/>
                <w:b/>
                <w:bCs/>
                <w:noProof/>
              </w:rPr>
            </w:pPr>
            <w:r w:rsidRPr="004037E5">
              <w:rPr>
                <w:rFonts w:cs="Arial"/>
                <w:b/>
                <w:bCs/>
                <w:noProof/>
              </w:rPr>
              <w:t>No</w:t>
            </w:r>
          </w:p>
          <w:p w14:paraId="33746FF9" w14:textId="10FE6AF0" w:rsidR="002032D3" w:rsidRPr="004037E5" w:rsidRDefault="002032D3" w:rsidP="002032D3">
            <w:pPr>
              <w:spacing w:after="0"/>
              <w:jc w:val="center"/>
              <w:rPr>
                <w:rFonts w:cs="Arial"/>
                <w:b/>
                <w:bCs/>
                <w:noProof/>
              </w:rPr>
            </w:pPr>
            <w:r w:rsidRPr="004037E5">
              <w:rPr>
                <w:rFonts w:cs="Arial"/>
                <w:b/>
                <w:bCs/>
                <w:noProof/>
              </w:rPr>
              <w:t>N=</w:t>
            </w:r>
            <w:r w:rsidR="001D625D" w:rsidRPr="004037E5">
              <w:rPr>
                <w:rFonts w:cs="Arial"/>
                <w:b/>
                <w:bCs/>
                <w:noProof/>
              </w:rPr>
              <w:t>21</w:t>
            </w:r>
          </w:p>
        </w:tc>
        <w:tc>
          <w:tcPr>
            <w:tcW w:w="1496" w:type="dxa"/>
          </w:tcPr>
          <w:p w14:paraId="244F0835" w14:textId="77777777" w:rsidR="002032D3" w:rsidRPr="004037E5" w:rsidRDefault="002032D3" w:rsidP="002032D3">
            <w:pPr>
              <w:spacing w:after="0"/>
              <w:jc w:val="center"/>
              <w:rPr>
                <w:rFonts w:cs="Arial"/>
                <w:b/>
                <w:bCs/>
                <w:noProof/>
              </w:rPr>
            </w:pPr>
            <w:r w:rsidRPr="004037E5">
              <w:rPr>
                <w:rFonts w:cs="Arial"/>
                <w:b/>
                <w:bCs/>
                <w:noProof/>
              </w:rPr>
              <w:t>Yes</w:t>
            </w:r>
          </w:p>
          <w:p w14:paraId="14F87E0C" w14:textId="0B593A9A" w:rsidR="002032D3" w:rsidRPr="004037E5" w:rsidRDefault="002032D3" w:rsidP="002032D3">
            <w:pPr>
              <w:spacing w:after="0"/>
              <w:jc w:val="center"/>
              <w:rPr>
                <w:rFonts w:cs="Arial"/>
                <w:b/>
                <w:bCs/>
                <w:noProof/>
              </w:rPr>
            </w:pPr>
            <w:r w:rsidRPr="004037E5">
              <w:rPr>
                <w:rFonts w:cs="Arial"/>
                <w:b/>
                <w:bCs/>
                <w:noProof/>
              </w:rPr>
              <w:t>N=</w:t>
            </w:r>
            <w:r w:rsidR="001D625D" w:rsidRPr="004037E5">
              <w:rPr>
                <w:rFonts w:cs="Arial"/>
                <w:b/>
                <w:bCs/>
                <w:noProof/>
              </w:rPr>
              <w:t>32</w:t>
            </w:r>
          </w:p>
        </w:tc>
        <w:tc>
          <w:tcPr>
            <w:tcW w:w="1496" w:type="dxa"/>
          </w:tcPr>
          <w:p w14:paraId="27AAD191" w14:textId="77777777" w:rsidR="002032D3" w:rsidRPr="004037E5" w:rsidRDefault="002032D3" w:rsidP="002032D3">
            <w:pPr>
              <w:spacing w:after="0"/>
              <w:jc w:val="center"/>
              <w:rPr>
                <w:rFonts w:cs="Arial"/>
                <w:b/>
                <w:bCs/>
                <w:noProof/>
              </w:rPr>
            </w:pPr>
            <w:r w:rsidRPr="004037E5">
              <w:rPr>
                <w:rFonts w:cs="Arial"/>
                <w:b/>
                <w:bCs/>
                <w:noProof/>
              </w:rPr>
              <w:t>No</w:t>
            </w:r>
          </w:p>
          <w:p w14:paraId="1C085CFE" w14:textId="755F9C18" w:rsidR="002032D3" w:rsidRPr="004037E5" w:rsidRDefault="002032D3" w:rsidP="002032D3">
            <w:pPr>
              <w:spacing w:after="0"/>
              <w:jc w:val="center"/>
              <w:rPr>
                <w:rFonts w:cs="Arial"/>
                <w:b/>
                <w:bCs/>
                <w:noProof/>
              </w:rPr>
            </w:pPr>
            <w:r w:rsidRPr="004037E5">
              <w:rPr>
                <w:rFonts w:cs="Arial"/>
                <w:b/>
                <w:bCs/>
                <w:noProof/>
              </w:rPr>
              <w:t>N=53</w:t>
            </w:r>
          </w:p>
        </w:tc>
        <w:tc>
          <w:tcPr>
            <w:tcW w:w="1496" w:type="dxa"/>
          </w:tcPr>
          <w:p w14:paraId="584E9EFF" w14:textId="77777777" w:rsidR="002032D3" w:rsidRPr="004037E5" w:rsidRDefault="002032D3" w:rsidP="002032D3">
            <w:pPr>
              <w:spacing w:after="0"/>
              <w:jc w:val="center"/>
              <w:rPr>
                <w:rFonts w:cs="Arial"/>
                <w:b/>
                <w:bCs/>
                <w:noProof/>
              </w:rPr>
            </w:pPr>
            <w:r w:rsidRPr="004037E5">
              <w:rPr>
                <w:rFonts w:cs="Arial"/>
                <w:b/>
                <w:bCs/>
                <w:noProof/>
              </w:rPr>
              <w:t>Yes</w:t>
            </w:r>
          </w:p>
          <w:p w14:paraId="07E42C75" w14:textId="6AE95E12" w:rsidR="002032D3" w:rsidRPr="004037E5" w:rsidRDefault="002032D3" w:rsidP="002032D3">
            <w:pPr>
              <w:spacing w:after="0"/>
              <w:jc w:val="center"/>
              <w:rPr>
                <w:rFonts w:cs="Arial"/>
                <w:b/>
                <w:bCs/>
                <w:noProof/>
              </w:rPr>
            </w:pPr>
            <w:r w:rsidRPr="004037E5">
              <w:rPr>
                <w:rFonts w:cs="Arial"/>
                <w:b/>
                <w:bCs/>
                <w:noProof/>
              </w:rPr>
              <w:t>N=53</w:t>
            </w:r>
          </w:p>
        </w:tc>
        <w:tc>
          <w:tcPr>
            <w:tcW w:w="1495" w:type="dxa"/>
          </w:tcPr>
          <w:p w14:paraId="578A301C" w14:textId="7571FE44" w:rsidR="001B0C50" w:rsidRPr="004037E5" w:rsidRDefault="00B86A33" w:rsidP="002032D3">
            <w:pPr>
              <w:spacing w:after="0"/>
              <w:jc w:val="center"/>
              <w:rPr>
                <w:rFonts w:cs="Arial"/>
                <w:b/>
                <w:bCs/>
                <w:noProof/>
              </w:rPr>
            </w:pPr>
            <w:r w:rsidRPr="004037E5">
              <w:rPr>
                <w:b/>
                <w:kern w:val="24"/>
                <w:lang w:val="en-US"/>
              </w:rPr>
              <w:t>N</w:t>
            </w:r>
            <w:r w:rsidRPr="004037E5">
              <w:rPr>
                <w:b/>
                <w:lang w:val="en-US"/>
              </w:rPr>
              <w:t>on-PK-guided</w:t>
            </w:r>
            <w:r w:rsidRPr="004037E5">
              <w:rPr>
                <w:b/>
                <w:kern w:val="24"/>
                <w:lang w:val="en-US"/>
              </w:rPr>
              <w:t xml:space="preserve"> </w:t>
            </w:r>
            <w:r w:rsidR="00695251" w:rsidRPr="004037E5">
              <w:rPr>
                <w:rFonts w:cs="Arial"/>
                <w:b/>
                <w:bCs/>
                <w:noProof/>
              </w:rPr>
              <w:t>N=22</w:t>
            </w:r>
          </w:p>
        </w:tc>
        <w:tc>
          <w:tcPr>
            <w:tcW w:w="1495" w:type="dxa"/>
          </w:tcPr>
          <w:p w14:paraId="6B64976F" w14:textId="471A0C30" w:rsidR="001B0C50" w:rsidRPr="004037E5" w:rsidRDefault="004A718F" w:rsidP="002032D3">
            <w:pPr>
              <w:spacing w:after="0"/>
              <w:jc w:val="center"/>
              <w:rPr>
                <w:rFonts w:cs="Arial"/>
                <w:b/>
                <w:bCs/>
                <w:noProof/>
              </w:rPr>
            </w:pPr>
            <w:r w:rsidRPr="004037E5">
              <w:rPr>
                <w:b/>
                <w:kern w:val="24"/>
                <w:lang w:val="en-US"/>
              </w:rPr>
              <w:t>PK-guided</w:t>
            </w:r>
            <w:r w:rsidRPr="004037E5">
              <w:rPr>
                <w:b/>
                <w:kern w:val="24"/>
                <w:lang w:val="en-US"/>
                <w14:ligatures w14:val="none"/>
              </w:rPr>
              <w:t xml:space="preserve"> </w:t>
            </w:r>
            <w:r w:rsidR="00695251" w:rsidRPr="004037E5">
              <w:rPr>
                <w:rFonts w:cs="Arial"/>
                <w:b/>
                <w:bCs/>
                <w:noProof/>
              </w:rPr>
              <w:t>N=10</w:t>
            </w:r>
          </w:p>
        </w:tc>
        <w:tc>
          <w:tcPr>
            <w:tcW w:w="1495" w:type="dxa"/>
          </w:tcPr>
          <w:p w14:paraId="0D12616F" w14:textId="021DA55B" w:rsidR="001B0C50" w:rsidRPr="004037E5" w:rsidRDefault="00B86A33" w:rsidP="002032D3">
            <w:pPr>
              <w:spacing w:after="0"/>
              <w:jc w:val="center"/>
              <w:rPr>
                <w:rFonts w:cs="Arial"/>
                <w:b/>
                <w:bCs/>
                <w:noProof/>
              </w:rPr>
            </w:pPr>
            <w:r w:rsidRPr="004037E5">
              <w:rPr>
                <w:b/>
                <w:kern w:val="24"/>
                <w:lang w:val="en-US"/>
              </w:rPr>
              <w:t>N</w:t>
            </w:r>
            <w:r w:rsidRPr="004037E5">
              <w:rPr>
                <w:b/>
                <w:lang w:val="en-US"/>
              </w:rPr>
              <w:t>on-PK-guided</w:t>
            </w:r>
            <w:r w:rsidRPr="004037E5">
              <w:rPr>
                <w:b/>
                <w:kern w:val="24"/>
                <w:lang w:val="en-US"/>
                <w14:ligatures w14:val="none"/>
              </w:rPr>
              <w:t xml:space="preserve"> </w:t>
            </w:r>
            <w:r w:rsidR="00695251" w:rsidRPr="004037E5">
              <w:rPr>
                <w:rFonts w:cs="Arial"/>
                <w:b/>
                <w:bCs/>
                <w:noProof/>
              </w:rPr>
              <w:t>N=32</w:t>
            </w:r>
          </w:p>
        </w:tc>
        <w:tc>
          <w:tcPr>
            <w:tcW w:w="1495" w:type="dxa"/>
          </w:tcPr>
          <w:p w14:paraId="15308637" w14:textId="55B83F87" w:rsidR="001B0C50" w:rsidRPr="004037E5" w:rsidRDefault="004A718F" w:rsidP="002032D3">
            <w:pPr>
              <w:spacing w:after="0"/>
              <w:jc w:val="center"/>
              <w:rPr>
                <w:rFonts w:cs="Arial"/>
                <w:b/>
                <w:bCs/>
                <w:noProof/>
              </w:rPr>
            </w:pPr>
            <w:r w:rsidRPr="004037E5">
              <w:rPr>
                <w:b/>
                <w:kern w:val="24"/>
                <w:lang w:val="en-US"/>
              </w:rPr>
              <w:t>PK-guided</w:t>
            </w:r>
            <w:r w:rsidRPr="004037E5">
              <w:rPr>
                <w:b/>
                <w:kern w:val="24"/>
                <w:lang w:val="en-US"/>
                <w14:ligatures w14:val="none"/>
              </w:rPr>
              <w:t xml:space="preserve"> </w:t>
            </w:r>
            <w:r w:rsidR="00695251" w:rsidRPr="004037E5">
              <w:rPr>
                <w:rFonts w:cs="Arial"/>
                <w:b/>
                <w:bCs/>
                <w:noProof/>
              </w:rPr>
              <w:t>N=32</w:t>
            </w:r>
          </w:p>
        </w:tc>
      </w:tr>
      <w:tr w:rsidR="00DF1617" w:rsidRPr="004037E5" w14:paraId="1E69F235" w14:textId="77777777" w:rsidTr="00315D90">
        <w:tc>
          <w:tcPr>
            <w:tcW w:w="1984" w:type="dxa"/>
          </w:tcPr>
          <w:p w14:paraId="6B23148C" w14:textId="77777777" w:rsidR="00E11CF3" w:rsidRDefault="00DF1617" w:rsidP="00DF1617">
            <w:pPr>
              <w:rPr>
                <w:rFonts w:cs="Arial"/>
              </w:rPr>
            </w:pPr>
            <w:r w:rsidRPr="004037E5">
              <w:rPr>
                <w:rFonts w:cs="Arial"/>
                <w:b/>
                <w:bCs/>
              </w:rPr>
              <w:t>Age,</w:t>
            </w:r>
            <w:r w:rsidRPr="004037E5">
              <w:rPr>
                <w:rFonts w:cs="Arial"/>
              </w:rPr>
              <w:t xml:space="preserve"> me</w:t>
            </w:r>
            <w:r w:rsidR="00B94666" w:rsidRPr="004037E5">
              <w:rPr>
                <w:rFonts w:cs="Arial"/>
              </w:rPr>
              <w:t>dian (IQR)</w:t>
            </w:r>
            <w:r w:rsidR="004F3A76" w:rsidRPr="004037E5">
              <w:rPr>
                <w:rFonts w:cs="Arial"/>
              </w:rPr>
              <w:t xml:space="preserve"> </w:t>
            </w:r>
          </w:p>
          <w:p w14:paraId="7F16AB32" w14:textId="0CAD3050" w:rsidR="009E7CE1" w:rsidRPr="004037E5" w:rsidRDefault="004F3A76" w:rsidP="00DF1617">
            <w:pPr>
              <w:rPr>
                <w:rFonts w:cs="Arial"/>
              </w:rPr>
            </w:pPr>
            <w:r w:rsidRPr="004037E5">
              <w:rPr>
                <w:rFonts w:cs="Arial"/>
                <w:noProof/>
              </w:rPr>
              <w:t>m</w:t>
            </w:r>
            <w:r w:rsidR="009E7CE1" w:rsidRPr="004037E5">
              <w:rPr>
                <w:rFonts w:cs="Arial"/>
                <w:noProof/>
              </w:rPr>
              <w:t>ean (SD)</w:t>
            </w:r>
          </w:p>
        </w:tc>
        <w:tc>
          <w:tcPr>
            <w:tcW w:w="1496" w:type="dxa"/>
          </w:tcPr>
          <w:p w14:paraId="3D6C5D35" w14:textId="4F5D06B2" w:rsidR="00DF1617" w:rsidRPr="004037E5" w:rsidRDefault="00926A80" w:rsidP="00DF1617">
            <w:pPr>
              <w:jc w:val="center"/>
            </w:pPr>
            <w:r w:rsidRPr="004037E5">
              <w:t xml:space="preserve">35.0 </w:t>
            </w:r>
            <w:r w:rsidR="007E4676" w:rsidRPr="004037E5">
              <w:t>(</w:t>
            </w:r>
            <w:r w:rsidRPr="004037E5">
              <w:t>27.0</w:t>
            </w:r>
            <w:r w:rsidR="00CF4812">
              <w:rPr>
                <w:rFonts w:cs="Arial"/>
              </w:rPr>
              <w:t>–</w:t>
            </w:r>
            <w:r w:rsidRPr="004037E5">
              <w:t>45.0</w:t>
            </w:r>
            <w:r w:rsidR="007E4676" w:rsidRPr="004037E5">
              <w:t>)</w:t>
            </w:r>
          </w:p>
          <w:p w14:paraId="23B29F8B" w14:textId="7A63BCD0" w:rsidR="00F12B55" w:rsidRPr="004037E5" w:rsidRDefault="0041785E" w:rsidP="00DF1617">
            <w:pPr>
              <w:jc w:val="center"/>
              <w:rPr>
                <w:rFonts w:cs="Arial"/>
                <w:noProof/>
              </w:rPr>
            </w:pPr>
            <w:r w:rsidRPr="004037E5">
              <w:t>36.7 (13.1)</w:t>
            </w:r>
          </w:p>
        </w:tc>
        <w:tc>
          <w:tcPr>
            <w:tcW w:w="1496" w:type="dxa"/>
          </w:tcPr>
          <w:p w14:paraId="1FF77F21" w14:textId="4609DCBD" w:rsidR="00DF1617" w:rsidRPr="004037E5" w:rsidRDefault="00DF1617" w:rsidP="00DF1617">
            <w:pPr>
              <w:jc w:val="center"/>
              <w:rPr>
                <w:rFonts w:eastAsia="Yu Mincho" w:cs="Arial"/>
                <w:kern w:val="24"/>
                <w:lang w:val="en-US"/>
                <w14:ligatures w14:val="none"/>
              </w:rPr>
            </w:pPr>
            <w:r w:rsidRPr="004037E5">
              <w:rPr>
                <w:rFonts w:eastAsia="Yu Mincho" w:cs="Arial"/>
                <w:kern w:val="24"/>
                <w:lang w:val="en-US"/>
              </w:rPr>
              <w:t>29.5 (24.0</w:t>
            </w:r>
            <w:r w:rsidR="00CF4812">
              <w:rPr>
                <w:rFonts w:cs="Arial"/>
              </w:rPr>
              <w:t>–</w:t>
            </w:r>
            <w:r w:rsidRPr="004037E5">
              <w:rPr>
                <w:rFonts w:eastAsia="Yu Mincho" w:cs="Arial"/>
                <w:kern w:val="24"/>
                <w:lang w:val="en-US"/>
              </w:rPr>
              <w:t>47.0)</w:t>
            </w:r>
          </w:p>
          <w:p w14:paraId="169F589D" w14:textId="52248186" w:rsidR="00F12B55" w:rsidRPr="004037E5" w:rsidRDefault="00A048CE" w:rsidP="00DF1617">
            <w:pPr>
              <w:jc w:val="center"/>
              <w:rPr>
                <w:rFonts w:cs="Arial"/>
                <w:noProof/>
              </w:rPr>
            </w:pPr>
            <w:r w:rsidRPr="004037E5">
              <w:t>36.1 (15.3)</w:t>
            </w:r>
          </w:p>
        </w:tc>
        <w:tc>
          <w:tcPr>
            <w:tcW w:w="1496" w:type="dxa"/>
          </w:tcPr>
          <w:p w14:paraId="3919A923" w14:textId="72E45509" w:rsidR="009E7CE1" w:rsidRPr="004037E5" w:rsidRDefault="00F56E6B" w:rsidP="00DF1617">
            <w:pPr>
              <w:jc w:val="center"/>
            </w:pPr>
            <w:r w:rsidRPr="004037E5">
              <w:t xml:space="preserve">31.0 </w:t>
            </w:r>
            <w:r w:rsidR="009E7CE1" w:rsidRPr="004037E5">
              <w:t>(</w:t>
            </w:r>
            <w:r w:rsidRPr="004037E5">
              <w:t>21.0</w:t>
            </w:r>
            <w:r w:rsidR="00CF4812">
              <w:rPr>
                <w:rFonts w:cs="Arial"/>
              </w:rPr>
              <w:t>–</w:t>
            </w:r>
            <w:r w:rsidRPr="004037E5">
              <w:t>36.0</w:t>
            </w:r>
            <w:r w:rsidR="009E7CE1" w:rsidRPr="004037E5">
              <w:t>)</w:t>
            </w:r>
            <w:r w:rsidRPr="004037E5">
              <w:t xml:space="preserve"> </w:t>
            </w:r>
          </w:p>
          <w:p w14:paraId="7A172C97" w14:textId="05CB1FEF" w:rsidR="00DF1617" w:rsidRPr="004037E5" w:rsidRDefault="008466C0" w:rsidP="00DF1617">
            <w:pPr>
              <w:jc w:val="center"/>
              <w:rPr>
                <w:rFonts w:cs="Arial"/>
                <w:noProof/>
              </w:rPr>
            </w:pPr>
            <w:r w:rsidRPr="004037E5">
              <w:t>32.3 (11.7)</w:t>
            </w:r>
          </w:p>
        </w:tc>
        <w:tc>
          <w:tcPr>
            <w:tcW w:w="1496" w:type="dxa"/>
          </w:tcPr>
          <w:p w14:paraId="15FCD21D" w14:textId="6669285F" w:rsidR="00D978CB" w:rsidRPr="004037E5" w:rsidRDefault="008020D5" w:rsidP="00DF1617">
            <w:pPr>
              <w:jc w:val="center"/>
            </w:pPr>
            <w:r w:rsidRPr="004037E5">
              <w:t xml:space="preserve">29.0 </w:t>
            </w:r>
            <w:r w:rsidR="00D978CB" w:rsidRPr="004037E5">
              <w:t>(</w:t>
            </w:r>
            <w:r w:rsidRPr="004037E5">
              <w:t>23.0</w:t>
            </w:r>
            <w:r w:rsidR="00CF4812">
              <w:rPr>
                <w:rFonts w:cs="Arial"/>
              </w:rPr>
              <w:t>–</w:t>
            </w:r>
            <w:r w:rsidRPr="004037E5">
              <w:t>43.0</w:t>
            </w:r>
            <w:r w:rsidR="00D978CB" w:rsidRPr="004037E5">
              <w:t>)</w:t>
            </w:r>
            <w:r w:rsidRPr="004037E5">
              <w:t xml:space="preserve"> </w:t>
            </w:r>
          </w:p>
          <w:p w14:paraId="6616877A" w14:textId="5C94BEE8" w:rsidR="00DF1617" w:rsidRPr="004037E5" w:rsidRDefault="00034A13" w:rsidP="00DF1617">
            <w:pPr>
              <w:jc w:val="center"/>
              <w:rPr>
                <w:rFonts w:cs="Arial"/>
                <w:noProof/>
              </w:rPr>
            </w:pPr>
            <w:r w:rsidRPr="004037E5">
              <w:t>34.5 (14.6)</w:t>
            </w:r>
          </w:p>
        </w:tc>
        <w:tc>
          <w:tcPr>
            <w:tcW w:w="1495" w:type="dxa"/>
            <w:tcBorders>
              <w:bottom w:val="single" w:sz="4" w:space="0" w:color="auto"/>
            </w:tcBorders>
            <w:shd w:val="clear" w:color="auto" w:fill="auto"/>
          </w:tcPr>
          <w:p w14:paraId="152707DF" w14:textId="610263D9" w:rsidR="00DF1617" w:rsidRPr="004037E5" w:rsidRDefault="00DF1617" w:rsidP="00DF1617">
            <w:pPr>
              <w:jc w:val="center"/>
              <w:rPr>
                <w:rFonts w:eastAsia="Yu Mincho" w:cs="Arial"/>
                <w:kern w:val="24"/>
                <w:lang w:val="en-US"/>
                <w14:ligatures w14:val="none"/>
              </w:rPr>
            </w:pPr>
            <w:r w:rsidRPr="004037E5">
              <w:rPr>
                <w:rFonts w:eastAsia="Yu Mincho" w:cs="Arial"/>
                <w:kern w:val="24"/>
                <w:lang w:val="en-US"/>
              </w:rPr>
              <w:t>27.5 (23.0</w:t>
            </w:r>
            <w:r w:rsidR="00CF4812">
              <w:rPr>
                <w:rFonts w:cs="Arial"/>
              </w:rPr>
              <w:t>–</w:t>
            </w:r>
            <w:r w:rsidRPr="004037E5">
              <w:rPr>
                <w:rFonts w:eastAsia="Yu Mincho" w:cs="Arial"/>
                <w:kern w:val="24"/>
                <w:lang w:val="en-US"/>
              </w:rPr>
              <w:t>45.0)</w:t>
            </w:r>
          </w:p>
          <w:p w14:paraId="09583F72" w14:textId="07C3B36F" w:rsidR="00852380" w:rsidRPr="004037E5" w:rsidRDefault="00711D27" w:rsidP="00DF1617">
            <w:pPr>
              <w:jc w:val="center"/>
              <w:rPr>
                <w:rFonts w:cs="Arial"/>
                <w:noProof/>
              </w:rPr>
            </w:pPr>
            <w:r w:rsidRPr="004037E5">
              <w:t>34.4 (14.9)</w:t>
            </w:r>
          </w:p>
        </w:tc>
        <w:tc>
          <w:tcPr>
            <w:tcW w:w="1495" w:type="dxa"/>
            <w:tcBorders>
              <w:bottom w:val="single" w:sz="4" w:space="0" w:color="auto"/>
            </w:tcBorders>
            <w:shd w:val="clear" w:color="auto" w:fill="auto"/>
          </w:tcPr>
          <w:p w14:paraId="7153BC65" w14:textId="2A98FF06" w:rsidR="00DF1617" w:rsidRPr="004037E5" w:rsidRDefault="00DF1617" w:rsidP="00DF1617">
            <w:pPr>
              <w:jc w:val="center"/>
              <w:rPr>
                <w:rFonts w:eastAsia="Yu Mincho" w:cs="Arial"/>
                <w:kern w:val="24"/>
                <w:lang w:val="en-US"/>
                <w14:ligatures w14:val="none"/>
              </w:rPr>
            </w:pPr>
            <w:r w:rsidRPr="004037E5">
              <w:rPr>
                <w:rFonts w:eastAsia="Yu Mincho" w:cs="Arial"/>
                <w:kern w:val="24"/>
                <w:lang w:val="en-US"/>
              </w:rPr>
              <w:t>37.0 (28.0</w:t>
            </w:r>
            <w:r w:rsidR="00CF4812">
              <w:rPr>
                <w:rFonts w:cs="Arial"/>
              </w:rPr>
              <w:t>–</w:t>
            </w:r>
            <w:r w:rsidRPr="004037E5">
              <w:rPr>
                <w:rFonts w:eastAsia="Yu Mincho" w:cs="Arial"/>
                <w:kern w:val="24"/>
                <w:lang w:val="en-US"/>
              </w:rPr>
              <w:t>49.0)</w:t>
            </w:r>
          </w:p>
          <w:p w14:paraId="1986B003" w14:textId="45DB8461" w:rsidR="00852380" w:rsidRPr="004037E5" w:rsidRDefault="00484A29" w:rsidP="00DF1617">
            <w:pPr>
              <w:jc w:val="center"/>
              <w:rPr>
                <w:rFonts w:cs="Arial"/>
                <w:noProof/>
              </w:rPr>
            </w:pPr>
            <w:r w:rsidRPr="004037E5">
              <w:t>39.8 (16.4)</w:t>
            </w:r>
          </w:p>
        </w:tc>
        <w:tc>
          <w:tcPr>
            <w:tcW w:w="1495" w:type="dxa"/>
          </w:tcPr>
          <w:p w14:paraId="339FB1C1" w14:textId="153EBDC7" w:rsidR="00226115" w:rsidRPr="004037E5" w:rsidRDefault="00964A3D" w:rsidP="00DF1617">
            <w:pPr>
              <w:jc w:val="center"/>
            </w:pPr>
            <w:r w:rsidRPr="004037E5">
              <w:t xml:space="preserve">26.0 </w:t>
            </w:r>
            <w:r w:rsidR="00226115" w:rsidRPr="004037E5">
              <w:t>(</w:t>
            </w:r>
            <w:r w:rsidRPr="004037E5">
              <w:t>22.0</w:t>
            </w:r>
            <w:r w:rsidR="00CF4812">
              <w:rPr>
                <w:rFonts w:cs="Arial"/>
              </w:rPr>
              <w:t>–</w:t>
            </w:r>
            <w:r w:rsidRPr="004037E5">
              <w:t>41.5</w:t>
            </w:r>
            <w:r w:rsidR="00226115" w:rsidRPr="004037E5">
              <w:t>)</w:t>
            </w:r>
            <w:r w:rsidRPr="004037E5">
              <w:t xml:space="preserve"> </w:t>
            </w:r>
          </w:p>
          <w:p w14:paraId="5F1B3463" w14:textId="06598714" w:rsidR="00DF1617" w:rsidRPr="004037E5" w:rsidRDefault="00DF1617" w:rsidP="00DF1617">
            <w:pPr>
              <w:jc w:val="center"/>
              <w:rPr>
                <w:rFonts w:cs="Arial"/>
                <w:noProof/>
              </w:rPr>
            </w:pPr>
            <w:r w:rsidRPr="004037E5">
              <w:t>32.3 (13.5)</w:t>
            </w:r>
          </w:p>
        </w:tc>
        <w:tc>
          <w:tcPr>
            <w:tcW w:w="1495" w:type="dxa"/>
          </w:tcPr>
          <w:p w14:paraId="76F6F6BB" w14:textId="590FD144" w:rsidR="00226115" w:rsidRPr="004037E5" w:rsidRDefault="00361F9E" w:rsidP="00DF1617">
            <w:pPr>
              <w:jc w:val="center"/>
            </w:pPr>
            <w:r w:rsidRPr="004037E5">
              <w:t xml:space="preserve">32.5 </w:t>
            </w:r>
            <w:r w:rsidR="00226115" w:rsidRPr="004037E5">
              <w:t>(</w:t>
            </w:r>
            <w:r w:rsidRPr="004037E5">
              <w:t>28.0</w:t>
            </w:r>
            <w:r w:rsidR="00CF4812">
              <w:rPr>
                <w:rFonts w:cs="Arial"/>
              </w:rPr>
              <w:t>–</w:t>
            </w:r>
            <w:r w:rsidRPr="004037E5">
              <w:t>39.0</w:t>
            </w:r>
            <w:r w:rsidR="00226115" w:rsidRPr="004037E5">
              <w:t>)</w:t>
            </w:r>
            <w:r w:rsidRPr="004037E5">
              <w:t xml:space="preserve"> </w:t>
            </w:r>
          </w:p>
          <w:p w14:paraId="31B596E1" w14:textId="7B6BF084" w:rsidR="00DF1617" w:rsidRPr="004037E5" w:rsidRDefault="00DF1617" w:rsidP="00DF1617">
            <w:pPr>
              <w:jc w:val="center"/>
              <w:rPr>
                <w:rFonts w:cs="Arial"/>
                <w:noProof/>
              </w:rPr>
            </w:pPr>
            <w:r w:rsidRPr="004037E5">
              <w:t>36.4 (13.6)</w:t>
            </w:r>
          </w:p>
        </w:tc>
      </w:tr>
      <w:tr w:rsidR="00DF1617" w:rsidRPr="004037E5" w14:paraId="082CE023" w14:textId="77777777" w:rsidTr="00315D90">
        <w:tc>
          <w:tcPr>
            <w:tcW w:w="1984" w:type="dxa"/>
          </w:tcPr>
          <w:p w14:paraId="195A4D99" w14:textId="77777777" w:rsidR="00E11CF3" w:rsidRDefault="00DF1617" w:rsidP="00DF1617">
            <w:pPr>
              <w:rPr>
                <w:rFonts w:cs="Arial"/>
              </w:rPr>
            </w:pPr>
            <w:r w:rsidRPr="004037E5">
              <w:rPr>
                <w:rFonts w:cs="Arial"/>
                <w:b/>
                <w:bCs/>
              </w:rPr>
              <w:t>BMI,</w:t>
            </w:r>
            <w:r w:rsidRPr="004037E5">
              <w:rPr>
                <w:rFonts w:cs="Arial"/>
              </w:rPr>
              <w:t xml:space="preserve"> </w:t>
            </w:r>
            <w:r w:rsidR="00B94666" w:rsidRPr="004037E5">
              <w:rPr>
                <w:rFonts w:cs="Arial"/>
              </w:rPr>
              <w:t>median (IQR)</w:t>
            </w:r>
            <w:r w:rsidR="004F3A76" w:rsidRPr="004037E5">
              <w:rPr>
                <w:rFonts w:cs="Arial"/>
              </w:rPr>
              <w:t xml:space="preserve"> </w:t>
            </w:r>
          </w:p>
          <w:p w14:paraId="617DA522" w14:textId="7062CCDE" w:rsidR="00DF1617" w:rsidRPr="004037E5" w:rsidRDefault="004F3A76" w:rsidP="00DF1617">
            <w:pPr>
              <w:rPr>
                <w:rFonts w:cs="Arial"/>
                <w:noProof/>
              </w:rPr>
            </w:pPr>
            <w:r w:rsidRPr="004037E5">
              <w:rPr>
                <w:rFonts w:cs="Arial"/>
                <w:noProof/>
              </w:rPr>
              <w:t>mean (SD)</w:t>
            </w:r>
          </w:p>
        </w:tc>
        <w:tc>
          <w:tcPr>
            <w:tcW w:w="1496" w:type="dxa"/>
          </w:tcPr>
          <w:p w14:paraId="6E04614C" w14:textId="38F25F27" w:rsidR="00DF1617" w:rsidRPr="004037E5" w:rsidRDefault="00926A80" w:rsidP="00DF1617">
            <w:pPr>
              <w:jc w:val="center"/>
            </w:pPr>
            <w:r w:rsidRPr="004037E5">
              <w:t xml:space="preserve">25.2 </w:t>
            </w:r>
            <w:r w:rsidR="007E4676" w:rsidRPr="004037E5">
              <w:t>(</w:t>
            </w:r>
            <w:r w:rsidRPr="004037E5">
              <w:t>23.1</w:t>
            </w:r>
            <w:r w:rsidR="004D6B35">
              <w:rPr>
                <w:rFonts w:cs="Arial"/>
              </w:rPr>
              <w:t>–</w:t>
            </w:r>
            <w:r w:rsidRPr="004037E5">
              <w:t>25.6</w:t>
            </w:r>
            <w:r w:rsidR="007E4676" w:rsidRPr="004037E5">
              <w:t>)</w:t>
            </w:r>
          </w:p>
          <w:p w14:paraId="2C34E6F0" w14:textId="37DCDA0A" w:rsidR="00F12B55" w:rsidRPr="004037E5" w:rsidRDefault="00196B22" w:rsidP="00DF1617">
            <w:pPr>
              <w:jc w:val="center"/>
              <w:rPr>
                <w:rFonts w:cs="Arial"/>
                <w:noProof/>
              </w:rPr>
            </w:pPr>
            <w:r w:rsidRPr="004037E5">
              <w:t>24.6 (1.8)</w:t>
            </w:r>
          </w:p>
        </w:tc>
        <w:tc>
          <w:tcPr>
            <w:tcW w:w="1496" w:type="dxa"/>
          </w:tcPr>
          <w:p w14:paraId="45910509" w14:textId="6B1B1078" w:rsidR="00DF1617" w:rsidRPr="004037E5" w:rsidRDefault="00DF1617" w:rsidP="00DF1617">
            <w:pPr>
              <w:jc w:val="center"/>
              <w:rPr>
                <w:rFonts w:eastAsia="Yu Mincho" w:cs="Arial"/>
                <w:kern w:val="24"/>
                <w:lang w:val="en-US"/>
                <w14:ligatures w14:val="none"/>
              </w:rPr>
            </w:pPr>
            <w:r w:rsidRPr="004037E5">
              <w:rPr>
                <w:rFonts w:eastAsia="Yu Mincho" w:cs="Arial"/>
                <w:kern w:val="24"/>
                <w:lang w:val="en-US"/>
              </w:rPr>
              <w:t>23.6 (22.0</w:t>
            </w:r>
            <w:r w:rsidR="004D6B35">
              <w:rPr>
                <w:rFonts w:cs="Arial"/>
              </w:rPr>
              <w:t>–</w:t>
            </w:r>
            <w:r w:rsidRPr="004037E5">
              <w:rPr>
                <w:rFonts w:eastAsia="Yu Mincho" w:cs="Arial"/>
                <w:kern w:val="24"/>
                <w:lang w:val="en-US"/>
              </w:rPr>
              <w:t>26.5)</w:t>
            </w:r>
          </w:p>
          <w:p w14:paraId="048C5A03" w14:textId="0B91DB24" w:rsidR="00F12B55" w:rsidRPr="004037E5" w:rsidRDefault="00173AEB" w:rsidP="00DF1617">
            <w:pPr>
              <w:jc w:val="center"/>
              <w:rPr>
                <w:rFonts w:cs="Arial"/>
                <w:noProof/>
              </w:rPr>
            </w:pPr>
            <w:r w:rsidRPr="004037E5">
              <w:t>24.2 (2.6)</w:t>
            </w:r>
          </w:p>
        </w:tc>
        <w:tc>
          <w:tcPr>
            <w:tcW w:w="1496" w:type="dxa"/>
          </w:tcPr>
          <w:p w14:paraId="0FE389D2" w14:textId="1B2CE7CD" w:rsidR="009E7CE1" w:rsidRPr="004037E5" w:rsidRDefault="008D58EE" w:rsidP="00DF1617">
            <w:pPr>
              <w:jc w:val="center"/>
            </w:pPr>
            <w:r w:rsidRPr="004037E5">
              <w:t xml:space="preserve">25.2 </w:t>
            </w:r>
            <w:r w:rsidR="009E7CE1" w:rsidRPr="004037E5">
              <w:t>(</w:t>
            </w:r>
            <w:r w:rsidRPr="004037E5">
              <w:t>23.1</w:t>
            </w:r>
            <w:r w:rsidR="004D6B35">
              <w:rPr>
                <w:rFonts w:cs="Arial"/>
              </w:rPr>
              <w:t>–</w:t>
            </w:r>
            <w:r w:rsidRPr="004037E5">
              <w:t>25.6</w:t>
            </w:r>
            <w:r w:rsidR="009E7CE1" w:rsidRPr="004037E5">
              <w:t>)</w:t>
            </w:r>
            <w:r w:rsidRPr="004037E5">
              <w:t xml:space="preserve"> </w:t>
            </w:r>
          </w:p>
          <w:p w14:paraId="1765C9E2" w14:textId="2635FD9E" w:rsidR="00DF1617" w:rsidRPr="004037E5" w:rsidRDefault="008466C0" w:rsidP="00DF1617">
            <w:pPr>
              <w:jc w:val="center"/>
              <w:rPr>
                <w:rFonts w:cs="Arial"/>
                <w:noProof/>
              </w:rPr>
            </w:pPr>
            <w:r w:rsidRPr="004037E5">
              <w:t xml:space="preserve">24.5 (1.7)  </w:t>
            </w:r>
          </w:p>
        </w:tc>
        <w:tc>
          <w:tcPr>
            <w:tcW w:w="1496" w:type="dxa"/>
          </w:tcPr>
          <w:p w14:paraId="713307AC" w14:textId="58A2AA2F" w:rsidR="00D978CB" w:rsidRPr="004037E5" w:rsidRDefault="008020D5" w:rsidP="00DF1617">
            <w:pPr>
              <w:jc w:val="center"/>
            </w:pPr>
            <w:r w:rsidRPr="004037E5">
              <w:t xml:space="preserve">23.7 </w:t>
            </w:r>
            <w:r w:rsidR="00D978CB" w:rsidRPr="004037E5">
              <w:t>(</w:t>
            </w:r>
            <w:r w:rsidRPr="004037E5">
              <w:t>22.2</w:t>
            </w:r>
            <w:r w:rsidR="004D6B35">
              <w:rPr>
                <w:rFonts w:cs="Arial"/>
              </w:rPr>
              <w:t>–</w:t>
            </w:r>
            <w:r w:rsidRPr="004037E5">
              <w:t>26.3</w:t>
            </w:r>
            <w:r w:rsidR="00D978CB" w:rsidRPr="004037E5">
              <w:t>)</w:t>
            </w:r>
            <w:r w:rsidRPr="004037E5">
              <w:t xml:space="preserve"> </w:t>
            </w:r>
          </w:p>
          <w:p w14:paraId="36FE9DB2" w14:textId="004F6215" w:rsidR="00DF1617" w:rsidRPr="004037E5" w:rsidRDefault="00034A13" w:rsidP="00DF1617">
            <w:pPr>
              <w:jc w:val="center"/>
              <w:rPr>
                <w:rFonts w:cs="Arial"/>
                <w:noProof/>
              </w:rPr>
            </w:pPr>
            <w:r w:rsidRPr="004037E5">
              <w:t>24.4 (2.5)</w:t>
            </w:r>
          </w:p>
        </w:tc>
        <w:tc>
          <w:tcPr>
            <w:tcW w:w="1495" w:type="dxa"/>
            <w:tcBorders>
              <w:top w:val="single" w:sz="4" w:space="0" w:color="auto"/>
              <w:bottom w:val="single" w:sz="4" w:space="0" w:color="auto"/>
            </w:tcBorders>
            <w:shd w:val="clear" w:color="auto" w:fill="auto"/>
          </w:tcPr>
          <w:p w14:paraId="72E8555C" w14:textId="18B5A4AB" w:rsidR="00DF1617" w:rsidRPr="004037E5" w:rsidRDefault="00DF1617" w:rsidP="00DF1617">
            <w:pPr>
              <w:jc w:val="center"/>
              <w:rPr>
                <w:rFonts w:eastAsia="Yu Mincho" w:cs="Arial"/>
                <w:kern w:val="24"/>
                <w:lang w:val="en-US"/>
                <w14:ligatures w14:val="none"/>
              </w:rPr>
            </w:pPr>
            <w:r w:rsidRPr="004037E5">
              <w:rPr>
                <w:rFonts w:eastAsia="Yu Mincho" w:cs="Arial"/>
                <w:kern w:val="24"/>
                <w:lang w:val="en-US"/>
              </w:rPr>
              <w:t>22.8 (21.3</w:t>
            </w:r>
            <w:r w:rsidR="004D6B35">
              <w:rPr>
                <w:rFonts w:cs="Arial"/>
              </w:rPr>
              <w:t>–</w:t>
            </w:r>
            <w:r w:rsidRPr="004037E5">
              <w:rPr>
                <w:rFonts w:eastAsia="Yu Mincho" w:cs="Arial"/>
                <w:kern w:val="24"/>
                <w:lang w:val="en-US"/>
              </w:rPr>
              <w:t>26.7)</w:t>
            </w:r>
          </w:p>
          <w:p w14:paraId="60F49126" w14:textId="5DCEA9F1" w:rsidR="00852380" w:rsidRPr="004037E5" w:rsidRDefault="00AD3E0B" w:rsidP="00DF1617">
            <w:pPr>
              <w:jc w:val="center"/>
              <w:rPr>
                <w:rFonts w:cs="Arial"/>
                <w:noProof/>
              </w:rPr>
            </w:pPr>
            <w:r w:rsidRPr="004037E5">
              <w:t>24.0 (2.9)</w:t>
            </w:r>
          </w:p>
        </w:tc>
        <w:tc>
          <w:tcPr>
            <w:tcW w:w="1495" w:type="dxa"/>
            <w:tcBorders>
              <w:top w:val="single" w:sz="4" w:space="0" w:color="auto"/>
              <w:bottom w:val="single" w:sz="4" w:space="0" w:color="auto"/>
            </w:tcBorders>
            <w:shd w:val="clear" w:color="auto" w:fill="auto"/>
          </w:tcPr>
          <w:p w14:paraId="2062F1C5" w14:textId="05F8C75F" w:rsidR="00DF1617" w:rsidRPr="004037E5" w:rsidRDefault="00DF1617" w:rsidP="00DF1617">
            <w:pPr>
              <w:jc w:val="center"/>
              <w:rPr>
                <w:rFonts w:eastAsia="Yu Mincho" w:cs="Arial"/>
                <w:kern w:val="24"/>
                <w:lang w:val="en-US"/>
                <w14:ligatures w14:val="none"/>
              </w:rPr>
            </w:pPr>
            <w:r w:rsidRPr="004037E5">
              <w:rPr>
                <w:rFonts w:eastAsia="Yu Mincho" w:cs="Arial"/>
                <w:kern w:val="24"/>
                <w:lang w:val="en-US"/>
              </w:rPr>
              <w:t>25.3 (23.4</w:t>
            </w:r>
            <w:r w:rsidR="004D6B35">
              <w:rPr>
                <w:rFonts w:cs="Arial"/>
              </w:rPr>
              <w:t>–</w:t>
            </w:r>
            <w:r w:rsidRPr="004037E5">
              <w:rPr>
                <w:rFonts w:eastAsia="Yu Mincho" w:cs="Arial"/>
                <w:kern w:val="24"/>
                <w:lang w:val="en-US"/>
              </w:rPr>
              <w:t>26.2)</w:t>
            </w:r>
          </w:p>
          <w:p w14:paraId="217156B1" w14:textId="3D5EA8A6" w:rsidR="00852380" w:rsidRPr="004037E5" w:rsidRDefault="00E40634" w:rsidP="00DF1617">
            <w:pPr>
              <w:jc w:val="center"/>
              <w:rPr>
                <w:rFonts w:cs="Arial"/>
                <w:noProof/>
              </w:rPr>
            </w:pPr>
            <w:r w:rsidRPr="004037E5">
              <w:t>24.8 (1.8)</w:t>
            </w:r>
          </w:p>
        </w:tc>
        <w:tc>
          <w:tcPr>
            <w:tcW w:w="1495" w:type="dxa"/>
          </w:tcPr>
          <w:p w14:paraId="2E9B4C87" w14:textId="2B9E00F3" w:rsidR="00226115" w:rsidRPr="004037E5" w:rsidRDefault="002E079F" w:rsidP="00DF1617">
            <w:pPr>
              <w:jc w:val="center"/>
            </w:pPr>
            <w:r w:rsidRPr="004037E5">
              <w:t xml:space="preserve">23.5 </w:t>
            </w:r>
            <w:r w:rsidR="00226115" w:rsidRPr="004037E5">
              <w:t>(</w:t>
            </w:r>
            <w:r w:rsidRPr="004037E5">
              <w:t>22.2</w:t>
            </w:r>
            <w:r w:rsidR="004D6B35">
              <w:rPr>
                <w:rFonts w:cs="Arial"/>
              </w:rPr>
              <w:t>–</w:t>
            </w:r>
            <w:r w:rsidRPr="004037E5">
              <w:t>26.7</w:t>
            </w:r>
            <w:r w:rsidR="00226115" w:rsidRPr="004037E5">
              <w:t>)</w:t>
            </w:r>
            <w:r w:rsidRPr="004037E5">
              <w:t xml:space="preserve"> </w:t>
            </w:r>
          </w:p>
          <w:p w14:paraId="14178FC2" w14:textId="18527691" w:rsidR="00DF1617" w:rsidRPr="004037E5" w:rsidRDefault="00DF1617" w:rsidP="00DF1617">
            <w:pPr>
              <w:jc w:val="center"/>
              <w:rPr>
                <w:rFonts w:cs="Arial"/>
                <w:noProof/>
              </w:rPr>
            </w:pPr>
            <w:r w:rsidRPr="004037E5">
              <w:t>24.3 (2.7)</w:t>
            </w:r>
          </w:p>
        </w:tc>
        <w:tc>
          <w:tcPr>
            <w:tcW w:w="1495" w:type="dxa"/>
          </w:tcPr>
          <w:p w14:paraId="59398A00" w14:textId="65C6E08C" w:rsidR="00226115" w:rsidRPr="004037E5" w:rsidRDefault="00361F9E" w:rsidP="00DF1617">
            <w:pPr>
              <w:jc w:val="center"/>
            </w:pPr>
            <w:r w:rsidRPr="004037E5">
              <w:t xml:space="preserve">23.4 </w:t>
            </w:r>
            <w:r w:rsidR="00226115" w:rsidRPr="004037E5">
              <w:t>(</w:t>
            </w:r>
            <w:r w:rsidRPr="004037E5">
              <w:t>23.4</w:t>
            </w:r>
            <w:r w:rsidR="004D6B35">
              <w:rPr>
                <w:rFonts w:cs="Arial"/>
              </w:rPr>
              <w:t>–</w:t>
            </w:r>
            <w:r w:rsidRPr="004037E5">
              <w:t>25.6</w:t>
            </w:r>
            <w:r w:rsidR="00226115" w:rsidRPr="004037E5">
              <w:t>)</w:t>
            </w:r>
            <w:r w:rsidRPr="004037E5">
              <w:t xml:space="preserve"> </w:t>
            </w:r>
          </w:p>
          <w:p w14:paraId="66F2B594" w14:textId="41B5097B" w:rsidR="00DF1617" w:rsidRPr="004037E5" w:rsidRDefault="00DF1617" w:rsidP="00DF1617">
            <w:pPr>
              <w:jc w:val="center"/>
              <w:rPr>
                <w:rFonts w:cs="Arial"/>
                <w:noProof/>
              </w:rPr>
            </w:pPr>
            <w:r w:rsidRPr="004037E5">
              <w:t>24.2 (1.6)</w:t>
            </w:r>
          </w:p>
        </w:tc>
      </w:tr>
      <w:tr w:rsidR="00B8626E" w:rsidRPr="004037E5" w14:paraId="376FDF57" w14:textId="77777777" w:rsidTr="00890D65">
        <w:tc>
          <w:tcPr>
            <w:tcW w:w="1984" w:type="dxa"/>
          </w:tcPr>
          <w:p w14:paraId="3C9F4B5F" w14:textId="5BFBC47D" w:rsidR="00B8626E" w:rsidRPr="004037E5" w:rsidRDefault="00B8626E" w:rsidP="00B8626E">
            <w:pPr>
              <w:rPr>
                <w:rFonts w:cs="Arial"/>
              </w:rPr>
            </w:pPr>
            <w:r w:rsidRPr="004037E5">
              <w:rPr>
                <w:rFonts w:cs="Arial"/>
                <w:b/>
                <w:bCs/>
              </w:rPr>
              <w:t>ABR,</w:t>
            </w:r>
            <w:r w:rsidRPr="004037E5">
              <w:rPr>
                <w:rFonts w:cs="Arial"/>
              </w:rPr>
              <w:t xml:space="preserve"> </w:t>
            </w:r>
            <w:r w:rsidR="00890D65">
              <w:rPr>
                <w:rFonts w:cs="Arial"/>
              </w:rPr>
              <w:br/>
            </w:r>
            <w:r w:rsidR="00B94666" w:rsidRPr="004037E5">
              <w:rPr>
                <w:rFonts w:cs="Arial"/>
              </w:rPr>
              <w:t>median (IQR)</w:t>
            </w:r>
            <w:r w:rsidR="004F3A76" w:rsidRPr="004037E5">
              <w:rPr>
                <w:rFonts w:cs="Arial"/>
              </w:rPr>
              <w:t xml:space="preserve"> </w:t>
            </w:r>
            <w:r w:rsidR="00E11CF3">
              <w:rPr>
                <w:rFonts w:cs="Arial"/>
              </w:rPr>
              <w:br/>
            </w:r>
            <w:r w:rsidR="004F3A76" w:rsidRPr="004037E5">
              <w:rPr>
                <w:rFonts w:cs="Arial"/>
                <w:noProof/>
              </w:rPr>
              <w:t>mean (SD)</w:t>
            </w:r>
          </w:p>
        </w:tc>
        <w:tc>
          <w:tcPr>
            <w:tcW w:w="1496" w:type="dxa"/>
            <w:vAlign w:val="bottom"/>
          </w:tcPr>
          <w:p w14:paraId="461B5F3E" w14:textId="6B61E533" w:rsidR="00F12B55" w:rsidRPr="004037E5" w:rsidRDefault="00926A80" w:rsidP="00890D65">
            <w:pPr>
              <w:jc w:val="center"/>
              <w:rPr>
                <w:rFonts w:cs="Arial"/>
                <w:noProof/>
              </w:rPr>
            </w:pPr>
            <w:r w:rsidRPr="004037E5">
              <w:t xml:space="preserve">5.0 </w:t>
            </w:r>
            <w:r w:rsidR="007E4676" w:rsidRPr="004037E5">
              <w:t>(</w:t>
            </w:r>
            <w:r w:rsidRPr="004037E5">
              <w:t>2.0</w:t>
            </w:r>
            <w:r w:rsidR="007C46A2">
              <w:rPr>
                <w:rFonts w:cs="Arial"/>
              </w:rPr>
              <w:t>–</w:t>
            </w:r>
            <w:r w:rsidRPr="004037E5">
              <w:t>6.0</w:t>
            </w:r>
            <w:r w:rsidR="007E4676" w:rsidRPr="004037E5">
              <w:t>)</w:t>
            </w:r>
            <w:r w:rsidR="00890D65">
              <w:br/>
            </w:r>
            <w:r w:rsidR="009D4D1C" w:rsidRPr="004037E5">
              <w:t>4.9 (3.9)</w:t>
            </w:r>
          </w:p>
        </w:tc>
        <w:tc>
          <w:tcPr>
            <w:tcW w:w="1496" w:type="dxa"/>
            <w:vAlign w:val="bottom"/>
          </w:tcPr>
          <w:p w14:paraId="23219E4C" w14:textId="167ADD0D" w:rsidR="00F12B55" w:rsidRPr="004037E5" w:rsidRDefault="00B8626E" w:rsidP="00890D65">
            <w:pPr>
              <w:jc w:val="center"/>
              <w:rPr>
                <w:rFonts w:cs="Arial"/>
                <w:noProof/>
              </w:rPr>
            </w:pPr>
            <w:r w:rsidRPr="004037E5">
              <w:rPr>
                <w:lang w:val="en-US"/>
              </w:rPr>
              <w:t>4.0 (3.0</w:t>
            </w:r>
            <w:r w:rsidR="007C46A2">
              <w:rPr>
                <w:rFonts w:cs="Arial"/>
              </w:rPr>
              <w:t>–</w:t>
            </w:r>
            <w:r w:rsidRPr="004037E5">
              <w:rPr>
                <w:lang w:val="en-US"/>
              </w:rPr>
              <w:t>7.5)</w:t>
            </w:r>
            <w:r w:rsidR="00890D65">
              <w:rPr>
                <w:lang w:val="en-US"/>
              </w:rPr>
              <w:br/>
            </w:r>
            <w:r w:rsidR="00366D58" w:rsidRPr="004037E5">
              <w:t>4.7 (3.0)</w:t>
            </w:r>
          </w:p>
        </w:tc>
        <w:tc>
          <w:tcPr>
            <w:tcW w:w="1496" w:type="dxa"/>
            <w:vAlign w:val="bottom"/>
          </w:tcPr>
          <w:p w14:paraId="5BC29C1B" w14:textId="6D5A52A2" w:rsidR="00B8626E" w:rsidRPr="004037E5" w:rsidRDefault="008D58EE" w:rsidP="00890D65">
            <w:pPr>
              <w:jc w:val="center"/>
              <w:rPr>
                <w:rFonts w:cs="Arial"/>
                <w:noProof/>
              </w:rPr>
            </w:pPr>
            <w:r w:rsidRPr="004037E5">
              <w:t xml:space="preserve">5.0 </w:t>
            </w:r>
            <w:r w:rsidR="009E7CE1" w:rsidRPr="004037E5">
              <w:t>(</w:t>
            </w:r>
            <w:r w:rsidRPr="004037E5">
              <w:t>2.0</w:t>
            </w:r>
            <w:r w:rsidR="007C46A2">
              <w:rPr>
                <w:rFonts w:cs="Arial"/>
              </w:rPr>
              <w:t>–</w:t>
            </w:r>
            <w:r w:rsidRPr="004037E5">
              <w:t>6.0</w:t>
            </w:r>
            <w:r w:rsidR="009E7CE1" w:rsidRPr="004037E5">
              <w:t>)</w:t>
            </w:r>
            <w:r w:rsidR="00890D65">
              <w:br/>
            </w:r>
            <w:r w:rsidR="008466C0" w:rsidRPr="004037E5">
              <w:t>4.9 (3.4)</w:t>
            </w:r>
          </w:p>
        </w:tc>
        <w:tc>
          <w:tcPr>
            <w:tcW w:w="1496" w:type="dxa"/>
            <w:vAlign w:val="bottom"/>
          </w:tcPr>
          <w:p w14:paraId="53EB911F" w14:textId="2A253B17" w:rsidR="00B8626E" w:rsidRPr="004037E5" w:rsidRDefault="008020D5" w:rsidP="00890D65">
            <w:pPr>
              <w:jc w:val="center"/>
              <w:rPr>
                <w:rFonts w:cs="Arial"/>
                <w:noProof/>
              </w:rPr>
            </w:pPr>
            <w:r w:rsidRPr="004037E5">
              <w:t xml:space="preserve">4.0 </w:t>
            </w:r>
            <w:r w:rsidR="00D978CB" w:rsidRPr="004037E5">
              <w:t>(</w:t>
            </w:r>
            <w:r w:rsidRPr="004037E5">
              <w:t>3.0</w:t>
            </w:r>
            <w:r w:rsidR="007C46A2">
              <w:rPr>
                <w:rFonts w:cs="Arial"/>
              </w:rPr>
              <w:t>–</w:t>
            </w:r>
            <w:r w:rsidRPr="004037E5">
              <w:t>6.0</w:t>
            </w:r>
            <w:r w:rsidR="00D978CB" w:rsidRPr="004037E5">
              <w:t>)</w:t>
            </w:r>
            <w:r w:rsidR="00890D65">
              <w:br/>
            </w:r>
            <w:r w:rsidR="00034A13" w:rsidRPr="004037E5">
              <w:t>4.4 (2.8)</w:t>
            </w:r>
          </w:p>
        </w:tc>
        <w:tc>
          <w:tcPr>
            <w:tcW w:w="1495" w:type="dxa"/>
            <w:vAlign w:val="bottom"/>
          </w:tcPr>
          <w:p w14:paraId="0F2B3FE3" w14:textId="41A1A884" w:rsidR="00852380" w:rsidRPr="004037E5" w:rsidRDefault="00B8626E" w:rsidP="00890D65">
            <w:pPr>
              <w:jc w:val="center"/>
              <w:rPr>
                <w:rFonts w:cs="Arial"/>
                <w:noProof/>
              </w:rPr>
            </w:pPr>
            <w:r w:rsidRPr="004037E5">
              <w:rPr>
                <w:lang w:val="en-US"/>
              </w:rPr>
              <w:t>4.0 (3.0</w:t>
            </w:r>
            <w:r w:rsidR="007C46A2">
              <w:rPr>
                <w:rFonts w:cs="Arial"/>
              </w:rPr>
              <w:t>–</w:t>
            </w:r>
            <w:r w:rsidRPr="004037E5">
              <w:rPr>
                <w:lang w:val="en-US"/>
              </w:rPr>
              <w:t>8.0)</w:t>
            </w:r>
            <w:r w:rsidR="00890D65">
              <w:rPr>
                <w:lang w:val="en-US"/>
              </w:rPr>
              <w:br/>
            </w:r>
            <w:r w:rsidR="000672A8" w:rsidRPr="004037E5">
              <w:t>5.2 (3.0)</w:t>
            </w:r>
          </w:p>
        </w:tc>
        <w:tc>
          <w:tcPr>
            <w:tcW w:w="1495" w:type="dxa"/>
            <w:vAlign w:val="bottom"/>
          </w:tcPr>
          <w:p w14:paraId="093E90FB" w14:textId="1F346008" w:rsidR="00852380" w:rsidRPr="004037E5" w:rsidRDefault="00B8626E" w:rsidP="00890D65">
            <w:pPr>
              <w:jc w:val="center"/>
              <w:rPr>
                <w:rFonts w:cs="Arial"/>
                <w:noProof/>
              </w:rPr>
            </w:pPr>
            <w:r w:rsidRPr="004037E5">
              <w:rPr>
                <w:lang w:val="en-US"/>
              </w:rPr>
              <w:t>3.5 (2.0</w:t>
            </w:r>
            <w:r w:rsidR="007C46A2">
              <w:rPr>
                <w:rFonts w:cs="Arial"/>
              </w:rPr>
              <w:t>–</w:t>
            </w:r>
            <w:r w:rsidRPr="004037E5">
              <w:rPr>
                <w:lang w:val="en-US"/>
              </w:rPr>
              <w:t>4.0)</w:t>
            </w:r>
            <w:r w:rsidR="00890D65">
              <w:rPr>
                <w:lang w:val="en-US"/>
              </w:rPr>
              <w:br/>
            </w:r>
            <w:r w:rsidR="003323FC" w:rsidRPr="004037E5">
              <w:t>3.6 (2.8)</w:t>
            </w:r>
          </w:p>
        </w:tc>
        <w:tc>
          <w:tcPr>
            <w:tcW w:w="1495" w:type="dxa"/>
            <w:vAlign w:val="bottom"/>
          </w:tcPr>
          <w:p w14:paraId="404C926C" w14:textId="75063D6E" w:rsidR="00B8626E" w:rsidRPr="004037E5" w:rsidRDefault="002E079F" w:rsidP="00890D65">
            <w:pPr>
              <w:jc w:val="center"/>
              <w:rPr>
                <w:rFonts w:cs="Arial"/>
                <w:noProof/>
              </w:rPr>
            </w:pPr>
            <w:r w:rsidRPr="004037E5">
              <w:t xml:space="preserve">4.0 </w:t>
            </w:r>
            <w:r w:rsidR="00226115" w:rsidRPr="004037E5">
              <w:t>(</w:t>
            </w:r>
            <w:r w:rsidRPr="004037E5">
              <w:t>2.5</w:t>
            </w:r>
            <w:r w:rsidR="007C46A2">
              <w:rPr>
                <w:rFonts w:cs="Arial"/>
              </w:rPr>
              <w:t>–</w:t>
            </w:r>
            <w:r w:rsidRPr="004037E5">
              <w:t>7.5</w:t>
            </w:r>
            <w:r w:rsidR="00226115" w:rsidRPr="004037E5">
              <w:t>)</w:t>
            </w:r>
            <w:r w:rsidR="00890D65">
              <w:br/>
            </w:r>
            <w:r w:rsidR="00B8626E" w:rsidRPr="004037E5">
              <w:t>4.5 (2.9)</w:t>
            </w:r>
          </w:p>
        </w:tc>
        <w:tc>
          <w:tcPr>
            <w:tcW w:w="1495" w:type="dxa"/>
            <w:vAlign w:val="bottom"/>
          </w:tcPr>
          <w:p w14:paraId="549A1DA3" w14:textId="53200045" w:rsidR="00B8626E" w:rsidRPr="004037E5" w:rsidRDefault="00361F9E" w:rsidP="00890D65">
            <w:pPr>
              <w:jc w:val="center"/>
              <w:rPr>
                <w:rFonts w:cs="Arial"/>
                <w:noProof/>
              </w:rPr>
            </w:pPr>
            <w:r w:rsidRPr="004037E5">
              <w:t xml:space="preserve">4.0 </w:t>
            </w:r>
            <w:r w:rsidR="00226115" w:rsidRPr="004037E5">
              <w:t>(</w:t>
            </w:r>
            <w:r w:rsidRPr="004037E5">
              <w:t>2.5</w:t>
            </w:r>
            <w:r w:rsidR="007C46A2">
              <w:rPr>
                <w:rFonts w:cs="Arial"/>
              </w:rPr>
              <w:t>–</w:t>
            </w:r>
            <w:r w:rsidRPr="004037E5">
              <w:t>4.0</w:t>
            </w:r>
            <w:r w:rsidR="00226115" w:rsidRPr="004037E5">
              <w:t>)</w:t>
            </w:r>
            <w:r w:rsidR="00890D65">
              <w:br/>
            </w:r>
            <w:r w:rsidR="00B8626E" w:rsidRPr="004037E5">
              <w:t>3.5 (2.2)</w:t>
            </w:r>
          </w:p>
        </w:tc>
      </w:tr>
      <w:tr w:rsidR="00931A00" w:rsidRPr="004037E5" w14:paraId="7FC04EF6" w14:textId="77777777" w:rsidTr="00CB24FD">
        <w:tc>
          <w:tcPr>
            <w:tcW w:w="1984" w:type="dxa"/>
          </w:tcPr>
          <w:p w14:paraId="59D7E060" w14:textId="186C9D31" w:rsidR="00931A00" w:rsidRPr="004037E5" w:rsidRDefault="00931A00" w:rsidP="00931A00">
            <w:pPr>
              <w:rPr>
                <w:rFonts w:cs="Arial"/>
                <w:noProof/>
              </w:rPr>
            </w:pPr>
            <w:r w:rsidRPr="004037E5">
              <w:rPr>
                <w:rFonts w:cs="Arial"/>
                <w:b/>
                <w:bCs/>
              </w:rPr>
              <w:t xml:space="preserve">Target joints, </w:t>
            </w:r>
            <w:r w:rsidR="00B94666" w:rsidRPr="004037E5">
              <w:rPr>
                <w:rFonts w:cs="Arial"/>
              </w:rPr>
              <w:t>median (IQR)</w:t>
            </w:r>
            <w:r w:rsidR="004F3A76" w:rsidRPr="004037E5">
              <w:rPr>
                <w:rFonts w:cs="Arial"/>
              </w:rPr>
              <w:t xml:space="preserve"> </w:t>
            </w:r>
            <w:r w:rsidR="004F3A76" w:rsidRPr="004037E5">
              <w:rPr>
                <w:rFonts w:cs="Arial"/>
                <w:noProof/>
              </w:rPr>
              <w:t>mean (SD)</w:t>
            </w:r>
          </w:p>
        </w:tc>
        <w:tc>
          <w:tcPr>
            <w:tcW w:w="1496" w:type="dxa"/>
            <w:vAlign w:val="bottom"/>
          </w:tcPr>
          <w:p w14:paraId="49C79F90" w14:textId="492231ED" w:rsidR="00F12B55" w:rsidRPr="004037E5" w:rsidRDefault="003544B3" w:rsidP="00CB24FD">
            <w:pPr>
              <w:jc w:val="center"/>
            </w:pPr>
            <w:r w:rsidRPr="004037E5">
              <w:t xml:space="preserve">0.0 </w:t>
            </w:r>
            <w:r w:rsidR="007E4676" w:rsidRPr="004037E5">
              <w:t>(</w:t>
            </w:r>
            <w:r w:rsidR="00926A80" w:rsidRPr="004037E5">
              <w:t>0.0</w:t>
            </w:r>
            <w:r w:rsidR="007C46A2">
              <w:rPr>
                <w:rFonts w:cs="Arial"/>
              </w:rPr>
              <w:t>–</w:t>
            </w:r>
            <w:r w:rsidR="00926A80" w:rsidRPr="004037E5">
              <w:t>1.0</w:t>
            </w:r>
            <w:r w:rsidR="007E4676" w:rsidRPr="004037E5">
              <w:t>)</w:t>
            </w:r>
            <w:r w:rsidR="00CB24FD">
              <w:br/>
            </w:r>
            <w:r w:rsidR="00A71CC3">
              <w:t xml:space="preserve">0.7 </w:t>
            </w:r>
            <w:r w:rsidR="002904EE" w:rsidRPr="004037E5">
              <w:t>(1.0)</w:t>
            </w:r>
          </w:p>
        </w:tc>
        <w:tc>
          <w:tcPr>
            <w:tcW w:w="1496" w:type="dxa"/>
            <w:vAlign w:val="bottom"/>
          </w:tcPr>
          <w:p w14:paraId="0A41253E" w14:textId="09A9EFBC" w:rsidR="0019790A" w:rsidRPr="004037E5" w:rsidRDefault="00ED1044" w:rsidP="00CB24FD">
            <w:pPr>
              <w:jc w:val="center"/>
              <w:rPr>
                <w:lang w:val="en-US"/>
              </w:rPr>
            </w:pPr>
            <w:r w:rsidRPr="004037E5">
              <w:rPr>
                <w:lang w:val="en-US"/>
              </w:rPr>
              <w:t xml:space="preserve">1.0 </w:t>
            </w:r>
            <w:r w:rsidR="00931A00" w:rsidRPr="004037E5">
              <w:rPr>
                <w:lang w:val="en-US"/>
              </w:rPr>
              <w:t>(0.0</w:t>
            </w:r>
            <w:r w:rsidR="007C46A2">
              <w:rPr>
                <w:rFonts w:cs="Arial"/>
              </w:rPr>
              <w:t>–</w:t>
            </w:r>
            <w:r w:rsidR="00931A00" w:rsidRPr="004037E5">
              <w:rPr>
                <w:lang w:val="en-US"/>
              </w:rPr>
              <w:t>2.5)</w:t>
            </w:r>
            <w:r w:rsidR="00CB24FD">
              <w:rPr>
                <w:lang w:val="en-US"/>
              </w:rPr>
              <w:br/>
            </w:r>
            <w:r w:rsidRPr="004037E5">
              <w:t>1.5 (1.6)</w:t>
            </w:r>
          </w:p>
        </w:tc>
        <w:tc>
          <w:tcPr>
            <w:tcW w:w="1496" w:type="dxa"/>
            <w:vAlign w:val="bottom"/>
          </w:tcPr>
          <w:p w14:paraId="003E6B68" w14:textId="07FD7E99" w:rsidR="00931A00" w:rsidRPr="004037E5" w:rsidRDefault="008D58EE" w:rsidP="00CB24FD">
            <w:pPr>
              <w:jc w:val="center"/>
              <w:rPr>
                <w:rFonts w:cs="Arial"/>
                <w:noProof/>
              </w:rPr>
            </w:pPr>
            <w:r w:rsidRPr="004037E5">
              <w:t xml:space="preserve">0.0 </w:t>
            </w:r>
            <w:r w:rsidR="009E7CE1" w:rsidRPr="004037E5">
              <w:t>(</w:t>
            </w:r>
            <w:r w:rsidRPr="004037E5">
              <w:t>0.0</w:t>
            </w:r>
            <w:r w:rsidR="007C46A2">
              <w:rPr>
                <w:rFonts w:cs="Arial"/>
              </w:rPr>
              <w:t>–</w:t>
            </w:r>
            <w:r w:rsidRPr="004037E5">
              <w:t>1.0</w:t>
            </w:r>
            <w:r w:rsidR="009E7CE1" w:rsidRPr="004037E5">
              <w:t>)</w:t>
            </w:r>
            <w:r w:rsidR="00CB24FD">
              <w:br/>
            </w:r>
            <w:r w:rsidR="008466C0" w:rsidRPr="004037E5">
              <w:t>0.5 (0.8)</w:t>
            </w:r>
          </w:p>
        </w:tc>
        <w:tc>
          <w:tcPr>
            <w:tcW w:w="1496" w:type="dxa"/>
            <w:vAlign w:val="bottom"/>
          </w:tcPr>
          <w:p w14:paraId="75AB2AE0" w14:textId="2F838BE8" w:rsidR="00931A00" w:rsidRPr="004037E5" w:rsidRDefault="008020D5" w:rsidP="00CB24FD">
            <w:pPr>
              <w:jc w:val="center"/>
              <w:rPr>
                <w:rFonts w:cs="Arial"/>
                <w:noProof/>
              </w:rPr>
            </w:pPr>
            <w:r w:rsidRPr="004037E5">
              <w:t xml:space="preserve">1.0 </w:t>
            </w:r>
            <w:r w:rsidR="00D978CB" w:rsidRPr="004037E5">
              <w:t>(</w:t>
            </w:r>
            <w:r w:rsidRPr="004037E5">
              <w:t>0.0</w:t>
            </w:r>
            <w:r w:rsidR="007C46A2">
              <w:rPr>
                <w:rFonts w:cs="Arial"/>
              </w:rPr>
              <w:t>–</w:t>
            </w:r>
            <w:r w:rsidRPr="004037E5">
              <w:t>2.0</w:t>
            </w:r>
            <w:r w:rsidR="00D978CB" w:rsidRPr="004037E5">
              <w:t>)</w:t>
            </w:r>
            <w:r w:rsidR="00CB24FD">
              <w:br/>
            </w:r>
            <w:r w:rsidR="000F30C9" w:rsidRPr="004037E5">
              <w:t>1.5 (1.6)</w:t>
            </w:r>
          </w:p>
        </w:tc>
        <w:tc>
          <w:tcPr>
            <w:tcW w:w="1495" w:type="dxa"/>
            <w:vAlign w:val="bottom"/>
          </w:tcPr>
          <w:p w14:paraId="4298D920" w14:textId="0ED10EF1" w:rsidR="00852380" w:rsidRPr="004037E5" w:rsidRDefault="00931A00" w:rsidP="00CB24FD">
            <w:pPr>
              <w:jc w:val="center"/>
              <w:rPr>
                <w:rFonts w:cs="Arial"/>
                <w:noProof/>
              </w:rPr>
            </w:pPr>
            <w:r w:rsidRPr="004037E5">
              <w:rPr>
                <w:lang w:val="en-US"/>
              </w:rPr>
              <w:t>1.5 (0.0</w:t>
            </w:r>
            <w:r w:rsidR="007C46A2">
              <w:rPr>
                <w:rFonts w:cs="Arial"/>
              </w:rPr>
              <w:t>–</w:t>
            </w:r>
            <w:r w:rsidRPr="004037E5">
              <w:rPr>
                <w:lang w:val="en-US"/>
              </w:rPr>
              <w:t>3.0)</w:t>
            </w:r>
            <w:r w:rsidR="00CB24FD">
              <w:rPr>
                <w:lang w:val="en-US"/>
              </w:rPr>
              <w:br/>
            </w:r>
            <w:r w:rsidR="000C080D" w:rsidRPr="004037E5">
              <w:t>1.9 (1.8)</w:t>
            </w:r>
          </w:p>
        </w:tc>
        <w:tc>
          <w:tcPr>
            <w:tcW w:w="1495" w:type="dxa"/>
            <w:vAlign w:val="bottom"/>
          </w:tcPr>
          <w:p w14:paraId="7CCE6B53" w14:textId="12168E43" w:rsidR="00852380" w:rsidRPr="004037E5" w:rsidRDefault="00931A00" w:rsidP="00CB24FD">
            <w:pPr>
              <w:jc w:val="center"/>
              <w:rPr>
                <w:rFonts w:cs="Arial"/>
                <w:noProof/>
              </w:rPr>
            </w:pPr>
            <w:r w:rsidRPr="004037E5">
              <w:rPr>
                <w:lang w:val="en-US"/>
              </w:rPr>
              <w:t>0.5 (0.0</w:t>
            </w:r>
            <w:r w:rsidR="007C46A2">
              <w:rPr>
                <w:rFonts w:cs="Arial"/>
              </w:rPr>
              <w:t>–</w:t>
            </w:r>
            <w:r w:rsidRPr="004037E5">
              <w:rPr>
                <w:lang w:val="en-US"/>
              </w:rPr>
              <w:t>1.0)</w:t>
            </w:r>
            <w:r w:rsidR="00CB24FD">
              <w:rPr>
                <w:lang w:val="en-US"/>
              </w:rPr>
              <w:br/>
            </w:r>
            <w:r w:rsidR="000778E9" w:rsidRPr="004037E5">
              <w:t>0.6 (0.7)</w:t>
            </w:r>
          </w:p>
        </w:tc>
        <w:tc>
          <w:tcPr>
            <w:tcW w:w="1495" w:type="dxa"/>
            <w:vAlign w:val="bottom"/>
          </w:tcPr>
          <w:p w14:paraId="15F85307" w14:textId="5E56A50F" w:rsidR="00931A00" w:rsidRPr="004037E5" w:rsidRDefault="002E079F" w:rsidP="00CB24FD">
            <w:pPr>
              <w:jc w:val="center"/>
              <w:rPr>
                <w:rFonts w:cs="Arial"/>
                <w:noProof/>
              </w:rPr>
            </w:pPr>
            <w:r w:rsidRPr="004037E5">
              <w:t xml:space="preserve">1.0 </w:t>
            </w:r>
            <w:r w:rsidR="00226115" w:rsidRPr="004037E5">
              <w:t>(</w:t>
            </w:r>
            <w:r w:rsidRPr="004037E5">
              <w:t>0.0</w:t>
            </w:r>
            <w:r w:rsidR="007C46A2">
              <w:rPr>
                <w:rFonts w:cs="Arial"/>
              </w:rPr>
              <w:t>–</w:t>
            </w:r>
            <w:r w:rsidRPr="004037E5">
              <w:t>3.5</w:t>
            </w:r>
            <w:r w:rsidR="00226115" w:rsidRPr="004037E5">
              <w:t>)</w:t>
            </w:r>
            <w:r w:rsidR="00CB24FD">
              <w:br/>
            </w:r>
            <w:r w:rsidR="00931A00" w:rsidRPr="004037E5">
              <w:t>1.9 (1.9)</w:t>
            </w:r>
          </w:p>
        </w:tc>
        <w:tc>
          <w:tcPr>
            <w:tcW w:w="1495" w:type="dxa"/>
            <w:vAlign w:val="bottom"/>
          </w:tcPr>
          <w:p w14:paraId="72960164" w14:textId="6663252A" w:rsidR="00931A00" w:rsidRPr="004037E5" w:rsidRDefault="00361F9E" w:rsidP="00CB24FD">
            <w:pPr>
              <w:jc w:val="center"/>
              <w:rPr>
                <w:rFonts w:cs="Arial"/>
                <w:noProof/>
              </w:rPr>
            </w:pPr>
            <w:r w:rsidRPr="004037E5">
              <w:t xml:space="preserve">0.0 </w:t>
            </w:r>
            <w:r w:rsidR="00226115" w:rsidRPr="004037E5">
              <w:t>(</w:t>
            </w:r>
            <w:r w:rsidRPr="004037E5">
              <w:t>0.0</w:t>
            </w:r>
            <w:r w:rsidR="007C46A2">
              <w:rPr>
                <w:rFonts w:cs="Arial"/>
              </w:rPr>
              <w:t>–</w:t>
            </w:r>
            <w:r w:rsidRPr="004037E5">
              <w:t>1.0</w:t>
            </w:r>
            <w:r w:rsidR="00226115" w:rsidRPr="004037E5">
              <w:t>)</w:t>
            </w:r>
            <w:r w:rsidR="00CB24FD">
              <w:br/>
            </w:r>
            <w:r w:rsidR="00931A00" w:rsidRPr="004037E5">
              <w:t>0.4 (0.7)</w:t>
            </w:r>
          </w:p>
        </w:tc>
      </w:tr>
      <w:tr w:rsidR="00931A00" w:rsidRPr="004037E5" w14:paraId="045CE4B5" w14:textId="77777777" w:rsidTr="00CB24FD">
        <w:tc>
          <w:tcPr>
            <w:tcW w:w="1984" w:type="dxa"/>
          </w:tcPr>
          <w:p w14:paraId="0FA23A77" w14:textId="1E997865" w:rsidR="00931A00" w:rsidRPr="004037E5" w:rsidRDefault="00931A00" w:rsidP="00931A00">
            <w:pPr>
              <w:rPr>
                <w:rFonts w:cs="Arial"/>
                <w:noProof/>
              </w:rPr>
            </w:pPr>
            <w:r w:rsidRPr="004037E5">
              <w:rPr>
                <w:rFonts w:cs="Arial"/>
                <w:b/>
                <w:bCs/>
              </w:rPr>
              <w:t>Problem joints,</w:t>
            </w:r>
            <w:r w:rsidRPr="004037E5">
              <w:rPr>
                <w:rFonts w:cs="Arial"/>
              </w:rPr>
              <w:t xml:space="preserve"> </w:t>
            </w:r>
            <w:r w:rsidR="00B94666" w:rsidRPr="004037E5">
              <w:rPr>
                <w:rFonts w:cs="Arial"/>
              </w:rPr>
              <w:t>median (IQR)</w:t>
            </w:r>
            <w:r w:rsidR="004F3A76" w:rsidRPr="004037E5">
              <w:rPr>
                <w:rFonts w:cs="Arial"/>
              </w:rPr>
              <w:t xml:space="preserve"> </w:t>
            </w:r>
            <w:r w:rsidR="004F3A76" w:rsidRPr="004037E5">
              <w:rPr>
                <w:rFonts w:cs="Arial"/>
                <w:noProof/>
              </w:rPr>
              <w:t>mean (SD)</w:t>
            </w:r>
          </w:p>
        </w:tc>
        <w:tc>
          <w:tcPr>
            <w:tcW w:w="1496" w:type="dxa"/>
            <w:vAlign w:val="bottom"/>
          </w:tcPr>
          <w:p w14:paraId="5DA9ADE3" w14:textId="2633D919" w:rsidR="00F12B55" w:rsidRPr="000F5B06" w:rsidRDefault="00A95FC9" w:rsidP="00CB24FD">
            <w:pPr>
              <w:jc w:val="center"/>
            </w:pPr>
            <w:r w:rsidRPr="004037E5">
              <w:t xml:space="preserve">0.0 </w:t>
            </w:r>
            <w:r w:rsidR="007E4676" w:rsidRPr="004037E5">
              <w:t>(</w:t>
            </w:r>
            <w:r w:rsidR="00926A80" w:rsidRPr="004037E5">
              <w:t>0.0</w:t>
            </w:r>
            <w:r w:rsidR="00576901">
              <w:rPr>
                <w:rFonts w:cs="Arial"/>
              </w:rPr>
              <w:t>–</w:t>
            </w:r>
            <w:r w:rsidR="00926A80" w:rsidRPr="004037E5">
              <w:t>2.0</w:t>
            </w:r>
            <w:r w:rsidR="007E4676" w:rsidRPr="004037E5">
              <w:t>)</w:t>
            </w:r>
            <w:r w:rsidR="00CB24FD">
              <w:br/>
            </w:r>
            <w:r w:rsidRPr="004037E5">
              <w:t>1.0 (1.2)</w:t>
            </w:r>
          </w:p>
        </w:tc>
        <w:tc>
          <w:tcPr>
            <w:tcW w:w="1496" w:type="dxa"/>
            <w:vAlign w:val="bottom"/>
          </w:tcPr>
          <w:p w14:paraId="5180C251" w14:textId="4369BD10" w:rsidR="001E34AE" w:rsidRPr="004037E5" w:rsidRDefault="00A95FC9" w:rsidP="00CB24FD">
            <w:pPr>
              <w:jc w:val="center"/>
            </w:pPr>
            <w:r w:rsidRPr="004037E5">
              <w:t xml:space="preserve">1.0 </w:t>
            </w:r>
            <w:r w:rsidR="008671C0" w:rsidRPr="004037E5">
              <w:t>(0.0</w:t>
            </w:r>
            <w:r w:rsidR="00576901">
              <w:rPr>
                <w:rFonts w:cs="Arial"/>
              </w:rPr>
              <w:t>–</w:t>
            </w:r>
            <w:r w:rsidR="008671C0" w:rsidRPr="004037E5">
              <w:t>1.0)</w:t>
            </w:r>
            <w:r w:rsidR="00CB24FD">
              <w:br/>
            </w:r>
            <w:r w:rsidR="001C09FD" w:rsidRPr="004037E5">
              <w:t>0.9 (1.1)</w:t>
            </w:r>
          </w:p>
        </w:tc>
        <w:tc>
          <w:tcPr>
            <w:tcW w:w="1496" w:type="dxa"/>
            <w:vAlign w:val="bottom"/>
          </w:tcPr>
          <w:p w14:paraId="53AB89FF" w14:textId="7BC7B2AD" w:rsidR="00931A00" w:rsidRPr="004037E5" w:rsidRDefault="008D58EE" w:rsidP="00CB24FD">
            <w:pPr>
              <w:jc w:val="center"/>
              <w:rPr>
                <w:rFonts w:cs="Arial"/>
                <w:noProof/>
              </w:rPr>
            </w:pPr>
            <w:r w:rsidRPr="004037E5">
              <w:t xml:space="preserve">1.0 </w:t>
            </w:r>
            <w:r w:rsidR="009E7CE1" w:rsidRPr="004037E5">
              <w:t>(</w:t>
            </w:r>
            <w:r w:rsidRPr="004037E5">
              <w:t>0.0</w:t>
            </w:r>
            <w:r w:rsidR="00576901">
              <w:rPr>
                <w:rFonts w:cs="Arial"/>
              </w:rPr>
              <w:t>–</w:t>
            </w:r>
            <w:r w:rsidRPr="004037E5">
              <w:t>2.0</w:t>
            </w:r>
            <w:r w:rsidR="009E7CE1" w:rsidRPr="004037E5">
              <w:t>)</w:t>
            </w:r>
            <w:r w:rsidR="00CB24FD">
              <w:br/>
            </w:r>
            <w:r w:rsidR="008466C0" w:rsidRPr="004037E5">
              <w:t>1.2 (1.2)</w:t>
            </w:r>
          </w:p>
        </w:tc>
        <w:tc>
          <w:tcPr>
            <w:tcW w:w="1496" w:type="dxa"/>
            <w:vAlign w:val="bottom"/>
          </w:tcPr>
          <w:p w14:paraId="76D9DD0A" w14:textId="5B5CA1E3" w:rsidR="00931A00" w:rsidRPr="004037E5" w:rsidRDefault="008020D5" w:rsidP="00CB24FD">
            <w:pPr>
              <w:jc w:val="center"/>
              <w:rPr>
                <w:rFonts w:cs="Arial"/>
                <w:noProof/>
              </w:rPr>
            </w:pPr>
            <w:r w:rsidRPr="004037E5">
              <w:t xml:space="preserve">1.0 </w:t>
            </w:r>
            <w:r w:rsidR="00D978CB" w:rsidRPr="004037E5">
              <w:t>(</w:t>
            </w:r>
            <w:r w:rsidRPr="004037E5">
              <w:t>0.0</w:t>
            </w:r>
            <w:r w:rsidR="00576901">
              <w:rPr>
                <w:rFonts w:cs="Arial"/>
              </w:rPr>
              <w:t>–</w:t>
            </w:r>
            <w:r w:rsidRPr="004037E5">
              <w:t>1.0</w:t>
            </w:r>
            <w:r w:rsidR="00D978CB" w:rsidRPr="004037E5">
              <w:t>)</w:t>
            </w:r>
            <w:r w:rsidR="00CB24FD">
              <w:br/>
            </w:r>
            <w:r w:rsidR="000F30C9" w:rsidRPr="004037E5">
              <w:t>0.9 (1.1)</w:t>
            </w:r>
          </w:p>
        </w:tc>
        <w:tc>
          <w:tcPr>
            <w:tcW w:w="1495" w:type="dxa"/>
            <w:vAlign w:val="bottom"/>
          </w:tcPr>
          <w:p w14:paraId="1F01CDEF" w14:textId="01A8EE78" w:rsidR="00852380" w:rsidRPr="004037E5" w:rsidRDefault="00855AC0" w:rsidP="00CB24FD">
            <w:pPr>
              <w:jc w:val="center"/>
              <w:rPr>
                <w:rFonts w:cs="Arial"/>
                <w:noProof/>
              </w:rPr>
            </w:pPr>
            <w:r w:rsidRPr="004037E5">
              <w:t>1.0 (0.0</w:t>
            </w:r>
            <w:r w:rsidR="00576901">
              <w:rPr>
                <w:rFonts w:cs="Arial"/>
              </w:rPr>
              <w:t>–</w:t>
            </w:r>
            <w:r w:rsidRPr="004037E5">
              <w:t>1.0)</w:t>
            </w:r>
            <w:r w:rsidR="00CB24FD">
              <w:br/>
            </w:r>
            <w:r w:rsidR="00D679C6" w:rsidRPr="004037E5">
              <w:t>0.8 (1.1)</w:t>
            </w:r>
          </w:p>
        </w:tc>
        <w:tc>
          <w:tcPr>
            <w:tcW w:w="1495" w:type="dxa"/>
            <w:vAlign w:val="bottom"/>
          </w:tcPr>
          <w:p w14:paraId="234602B2" w14:textId="3F9F4C4C" w:rsidR="00852380" w:rsidRPr="004037E5" w:rsidRDefault="00E61363" w:rsidP="00CB24FD">
            <w:pPr>
              <w:jc w:val="center"/>
              <w:rPr>
                <w:rFonts w:cs="Arial"/>
                <w:noProof/>
              </w:rPr>
            </w:pPr>
            <w:r w:rsidRPr="004037E5">
              <w:t>1.0 (0.0</w:t>
            </w:r>
            <w:r w:rsidR="00576901">
              <w:rPr>
                <w:rFonts w:cs="Arial"/>
              </w:rPr>
              <w:t>–</w:t>
            </w:r>
            <w:r w:rsidRPr="004037E5">
              <w:t>2.0)</w:t>
            </w:r>
            <w:r w:rsidR="00CB24FD">
              <w:br/>
            </w:r>
            <w:r w:rsidR="006D4EC6" w:rsidRPr="004037E5">
              <w:t>1.0 (1.1)</w:t>
            </w:r>
          </w:p>
        </w:tc>
        <w:tc>
          <w:tcPr>
            <w:tcW w:w="1495" w:type="dxa"/>
            <w:vAlign w:val="bottom"/>
          </w:tcPr>
          <w:p w14:paraId="4FE23B55" w14:textId="042E8C6B" w:rsidR="00931A00" w:rsidRPr="004037E5" w:rsidRDefault="002E079F" w:rsidP="00CB24FD">
            <w:pPr>
              <w:jc w:val="center"/>
              <w:rPr>
                <w:rFonts w:cs="Arial"/>
                <w:noProof/>
              </w:rPr>
            </w:pPr>
            <w:r w:rsidRPr="004037E5">
              <w:t xml:space="preserve">1.0 </w:t>
            </w:r>
            <w:r w:rsidR="00226115" w:rsidRPr="004037E5">
              <w:t>(</w:t>
            </w:r>
            <w:r w:rsidRPr="004037E5">
              <w:t>0.0</w:t>
            </w:r>
            <w:r w:rsidR="00576901">
              <w:rPr>
                <w:rFonts w:cs="Arial"/>
              </w:rPr>
              <w:t>–</w:t>
            </w:r>
            <w:r w:rsidRPr="004037E5">
              <w:t>1.0</w:t>
            </w:r>
            <w:r w:rsidR="00226115" w:rsidRPr="004037E5">
              <w:t>)</w:t>
            </w:r>
            <w:r w:rsidR="00CB24FD">
              <w:br/>
            </w:r>
            <w:r w:rsidR="00931A00" w:rsidRPr="004037E5">
              <w:t>0.7 (1.0)</w:t>
            </w:r>
          </w:p>
        </w:tc>
        <w:tc>
          <w:tcPr>
            <w:tcW w:w="1495" w:type="dxa"/>
            <w:vAlign w:val="bottom"/>
          </w:tcPr>
          <w:p w14:paraId="350B0F76" w14:textId="253FFA14" w:rsidR="00931A00" w:rsidRPr="004037E5" w:rsidRDefault="00361F9E" w:rsidP="00CB24FD">
            <w:pPr>
              <w:jc w:val="center"/>
              <w:rPr>
                <w:rFonts w:cs="Arial"/>
                <w:noProof/>
              </w:rPr>
            </w:pPr>
            <w:r w:rsidRPr="004037E5">
              <w:t xml:space="preserve">1.0 </w:t>
            </w:r>
            <w:r w:rsidR="00226115" w:rsidRPr="004037E5">
              <w:t>(</w:t>
            </w:r>
            <w:r w:rsidRPr="004037E5">
              <w:t>0.0</w:t>
            </w:r>
            <w:r w:rsidR="00576901">
              <w:rPr>
                <w:rFonts w:cs="Arial"/>
              </w:rPr>
              <w:t>–</w:t>
            </w:r>
            <w:r w:rsidRPr="004037E5">
              <w:t>1.5</w:t>
            </w:r>
            <w:r w:rsidR="00226115" w:rsidRPr="004037E5">
              <w:t>)</w:t>
            </w:r>
            <w:r w:rsidR="00CB24FD">
              <w:br/>
            </w:r>
            <w:r w:rsidR="00931A00" w:rsidRPr="004037E5">
              <w:t>1.0 (0.8)</w:t>
            </w:r>
          </w:p>
        </w:tc>
      </w:tr>
      <w:tr w:rsidR="00931A00" w:rsidRPr="004037E5" w14:paraId="7F44D28D" w14:textId="77777777" w:rsidTr="00144488">
        <w:tc>
          <w:tcPr>
            <w:tcW w:w="13948" w:type="dxa"/>
            <w:gridSpan w:val="9"/>
          </w:tcPr>
          <w:p w14:paraId="7ABEA820" w14:textId="6DF918E2" w:rsidR="00931A00" w:rsidRPr="004037E5" w:rsidRDefault="00931A00" w:rsidP="00931A00">
            <w:pPr>
              <w:rPr>
                <w:rFonts w:cs="Arial"/>
                <w:noProof/>
              </w:rPr>
            </w:pPr>
            <w:r w:rsidRPr="004037E5">
              <w:rPr>
                <w:rFonts w:cs="Arial"/>
                <w:b/>
                <w:bCs/>
              </w:rPr>
              <w:t>University Education,</w:t>
            </w:r>
            <w:r w:rsidRPr="004037E5">
              <w:rPr>
                <w:rFonts w:cs="Arial"/>
              </w:rPr>
              <w:t xml:space="preserve"> n (%)</w:t>
            </w:r>
          </w:p>
        </w:tc>
      </w:tr>
      <w:tr w:rsidR="00931A00" w:rsidRPr="004037E5" w14:paraId="6B416DC4" w14:textId="77777777" w:rsidTr="00144488">
        <w:tc>
          <w:tcPr>
            <w:tcW w:w="1984" w:type="dxa"/>
          </w:tcPr>
          <w:p w14:paraId="0E4E600A" w14:textId="77777777" w:rsidR="00931A00" w:rsidRPr="004037E5" w:rsidRDefault="00931A00" w:rsidP="00931A00">
            <w:pPr>
              <w:ind w:left="170"/>
              <w:rPr>
                <w:rFonts w:cs="Arial"/>
                <w:noProof/>
              </w:rPr>
            </w:pPr>
            <w:r w:rsidRPr="004037E5">
              <w:rPr>
                <w:rFonts w:cs="Arial"/>
              </w:rPr>
              <w:t>No University Education</w:t>
            </w:r>
          </w:p>
        </w:tc>
        <w:tc>
          <w:tcPr>
            <w:tcW w:w="1496" w:type="dxa"/>
          </w:tcPr>
          <w:p w14:paraId="6FC71A00" w14:textId="77777777" w:rsidR="00931A00" w:rsidRPr="004037E5" w:rsidRDefault="00931A00" w:rsidP="00931A00">
            <w:pPr>
              <w:jc w:val="center"/>
              <w:rPr>
                <w:rFonts w:cs="Arial"/>
                <w:noProof/>
              </w:rPr>
            </w:pPr>
            <w:r w:rsidRPr="004037E5">
              <w:t>12 (57.1%)</w:t>
            </w:r>
          </w:p>
        </w:tc>
        <w:tc>
          <w:tcPr>
            <w:tcW w:w="1496" w:type="dxa"/>
          </w:tcPr>
          <w:p w14:paraId="443D5EF2" w14:textId="77777777" w:rsidR="00931A00" w:rsidRPr="004037E5" w:rsidRDefault="00931A00" w:rsidP="00931A00">
            <w:pPr>
              <w:jc w:val="center"/>
              <w:rPr>
                <w:rFonts w:cs="Arial"/>
                <w:noProof/>
              </w:rPr>
            </w:pPr>
            <w:r w:rsidRPr="004037E5">
              <w:t>21 (65.6%)</w:t>
            </w:r>
          </w:p>
        </w:tc>
        <w:tc>
          <w:tcPr>
            <w:tcW w:w="1496" w:type="dxa"/>
          </w:tcPr>
          <w:p w14:paraId="017047F4" w14:textId="4B237A46" w:rsidR="00931A00" w:rsidRPr="004037E5" w:rsidRDefault="00931A00" w:rsidP="00931A00">
            <w:pPr>
              <w:jc w:val="center"/>
              <w:rPr>
                <w:rFonts w:cs="Arial"/>
                <w:noProof/>
              </w:rPr>
            </w:pPr>
            <w:r w:rsidRPr="004037E5">
              <w:t>34 (64.2%)</w:t>
            </w:r>
          </w:p>
        </w:tc>
        <w:tc>
          <w:tcPr>
            <w:tcW w:w="1496" w:type="dxa"/>
          </w:tcPr>
          <w:p w14:paraId="4B850D8B" w14:textId="0A55584B" w:rsidR="00931A00" w:rsidRPr="004037E5" w:rsidRDefault="00931A00" w:rsidP="00931A00">
            <w:pPr>
              <w:jc w:val="center"/>
              <w:rPr>
                <w:rFonts w:cs="Arial"/>
                <w:noProof/>
              </w:rPr>
            </w:pPr>
            <w:r w:rsidRPr="004037E5">
              <w:t>34 (64.2%)</w:t>
            </w:r>
          </w:p>
        </w:tc>
        <w:tc>
          <w:tcPr>
            <w:tcW w:w="1495" w:type="dxa"/>
          </w:tcPr>
          <w:p w14:paraId="4A656649" w14:textId="77777777" w:rsidR="00931A00" w:rsidRPr="004037E5" w:rsidRDefault="00931A00" w:rsidP="00931A00">
            <w:pPr>
              <w:jc w:val="center"/>
              <w:rPr>
                <w:rFonts w:cs="Arial"/>
                <w:noProof/>
              </w:rPr>
            </w:pPr>
            <w:r w:rsidRPr="004037E5">
              <w:t>15 (68.2%)</w:t>
            </w:r>
          </w:p>
        </w:tc>
        <w:tc>
          <w:tcPr>
            <w:tcW w:w="1495" w:type="dxa"/>
          </w:tcPr>
          <w:p w14:paraId="2F11ED31" w14:textId="77777777" w:rsidR="00931A00" w:rsidRPr="004037E5" w:rsidRDefault="00931A00" w:rsidP="00931A00">
            <w:pPr>
              <w:jc w:val="center"/>
              <w:rPr>
                <w:rFonts w:cs="Arial"/>
                <w:noProof/>
              </w:rPr>
            </w:pPr>
            <w:r w:rsidRPr="004037E5">
              <w:t>6 (60.0%)</w:t>
            </w:r>
          </w:p>
        </w:tc>
        <w:tc>
          <w:tcPr>
            <w:tcW w:w="1495" w:type="dxa"/>
          </w:tcPr>
          <w:p w14:paraId="5DC52F24" w14:textId="0E3BBDC6" w:rsidR="00931A00" w:rsidRPr="004037E5" w:rsidRDefault="00931A00" w:rsidP="00931A00">
            <w:pPr>
              <w:jc w:val="center"/>
              <w:rPr>
                <w:rFonts w:cs="Arial"/>
                <w:noProof/>
              </w:rPr>
            </w:pPr>
            <w:r w:rsidRPr="004037E5">
              <w:t>22 (68.8%)</w:t>
            </w:r>
          </w:p>
        </w:tc>
        <w:tc>
          <w:tcPr>
            <w:tcW w:w="1495" w:type="dxa"/>
          </w:tcPr>
          <w:p w14:paraId="70AE56B6" w14:textId="77777777" w:rsidR="00931A00" w:rsidRPr="004037E5" w:rsidRDefault="00931A00" w:rsidP="00931A00">
            <w:pPr>
              <w:jc w:val="center"/>
              <w:rPr>
                <w:rFonts w:cs="Arial"/>
                <w:noProof/>
              </w:rPr>
            </w:pPr>
            <w:r w:rsidRPr="004037E5">
              <w:t>14 (43.8%)</w:t>
            </w:r>
          </w:p>
        </w:tc>
      </w:tr>
      <w:tr w:rsidR="00931A00" w:rsidRPr="004037E5" w14:paraId="40E4D9D1" w14:textId="77777777" w:rsidTr="00144488">
        <w:tc>
          <w:tcPr>
            <w:tcW w:w="1984" w:type="dxa"/>
          </w:tcPr>
          <w:p w14:paraId="481CD68A" w14:textId="77777777" w:rsidR="00931A00" w:rsidRPr="004037E5" w:rsidRDefault="00931A00" w:rsidP="00931A00">
            <w:pPr>
              <w:ind w:left="170"/>
              <w:rPr>
                <w:rFonts w:cs="Arial"/>
                <w:noProof/>
              </w:rPr>
            </w:pPr>
            <w:r w:rsidRPr="004037E5">
              <w:rPr>
                <w:rFonts w:cs="Arial"/>
              </w:rPr>
              <w:lastRenderedPageBreak/>
              <w:t>University Education</w:t>
            </w:r>
          </w:p>
        </w:tc>
        <w:tc>
          <w:tcPr>
            <w:tcW w:w="1496" w:type="dxa"/>
          </w:tcPr>
          <w:p w14:paraId="155F39FC" w14:textId="77777777" w:rsidR="00931A00" w:rsidRPr="004037E5" w:rsidRDefault="00931A00" w:rsidP="00931A00">
            <w:pPr>
              <w:jc w:val="center"/>
              <w:rPr>
                <w:rFonts w:cs="Arial"/>
                <w:noProof/>
              </w:rPr>
            </w:pPr>
            <w:r w:rsidRPr="004037E5">
              <w:t>9 (42.9%)</w:t>
            </w:r>
          </w:p>
        </w:tc>
        <w:tc>
          <w:tcPr>
            <w:tcW w:w="1496" w:type="dxa"/>
          </w:tcPr>
          <w:p w14:paraId="014047D3" w14:textId="77777777" w:rsidR="00931A00" w:rsidRPr="004037E5" w:rsidRDefault="00931A00" w:rsidP="00931A00">
            <w:pPr>
              <w:jc w:val="center"/>
              <w:rPr>
                <w:rFonts w:cs="Arial"/>
                <w:noProof/>
              </w:rPr>
            </w:pPr>
            <w:r w:rsidRPr="004037E5">
              <w:t>11 (34.4%)</w:t>
            </w:r>
          </w:p>
        </w:tc>
        <w:tc>
          <w:tcPr>
            <w:tcW w:w="1496" w:type="dxa"/>
          </w:tcPr>
          <w:p w14:paraId="1A1023E0" w14:textId="7FCA874B" w:rsidR="00931A00" w:rsidRPr="004037E5" w:rsidRDefault="00931A00" w:rsidP="00931A00">
            <w:pPr>
              <w:jc w:val="center"/>
              <w:rPr>
                <w:rFonts w:cs="Arial"/>
                <w:noProof/>
              </w:rPr>
            </w:pPr>
            <w:r w:rsidRPr="004037E5">
              <w:t>19 (35.8%)</w:t>
            </w:r>
          </w:p>
        </w:tc>
        <w:tc>
          <w:tcPr>
            <w:tcW w:w="1496" w:type="dxa"/>
          </w:tcPr>
          <w:p w14:paraId="783D0105" w14:textId="36BF94DA" w:rsidR="00931A00" w:rsidRPr="004037E5" w:rsidRDefault="00931A00" w:rsidP="00931A00">
            <w:pPr>
              <w:jc w:val="center"/>
              <w:rPr>
                <w:rFonts w:cs="Arial"/>
                <w:noProof/>
              </w:rPr>
            </w:pPr>
            <w:r w:rsidRPr="004037E5">
              <w:t>19 (35.8%)</w:t>
            </w:r>
          </w:p>
        </w:tc>
        <w:tc>
          <w:tcPr>
            <w:tcW w:w="1495" w:type="dxa"/>
          </w:tcPr>
          <w:p w14:paraId="575D0E72" w14:textId="77777777" w:rsidR="00931A00" w:rsidRPr="004037E5" w:rsidRDefault="00931A00" w:rsidP="00931A00">
            <w:pPr>
              <w:jc w:val="center"/>
              <w:rPr>
                <w:rFonts w:cs="Arial"/>
                <w:noProof/>
              </w:rPr>
            </w:pPr>
            <w:r w:rsidRPr="004037E5">
              <w:t>7 (31.8%)</w:t>
            </w:r>
          </w:p>
        </w:tc>
        <w:tc>
          <w:tcPr>
            <w:tcW w:w="1495" w:type="dxa"/>
          </w:tcPr>
          <w:p w14:paraId="280003C2" w14:textId="77777777" w:rsidR="00931A00" w:rsidRPr="004037E5" w:rsidRDefault="00931A00" w:rsidP="00931A00">
            <w:pPr>
              <w:jc w:val="center"/>
              <w:rPr>
                <w:rFonts w:cs="Arial"/>
                <w:noProof/>
              </w:rPr>
            </w:pPr>
            <w:r w:rsidRPr="004037E5">
              <w:t>4 (40.0%)</w:t>
            </w:r>
          </w:p>
        </w:tc>
        <w:tc>
          <w:tcPr>
            <w:tcW w:w="1495" w:type="dxa"/>
          </w:tcPr>
          <w:p w14:paraId="239CE2E0" w14:textId="48198CC6" w:rsidR="00931A00" w:rsidRPr="004037E5" w:rsidRDefault="00931A00" w:rsidP="00931A00">
            <w:pPr>
              <w:jc w:val="center"/>
              <w:rPr>
                <w:rFonts w:cs="Arial"/>
                <w:noProof/>
              </w:rPr>
            </w:pPr>
            <w:r w:rsidRPr="004037E5">
              <w:t>10 (31.2%)</w:t>
            </w:r>
          </w:p>
        </w:tc>
        <w:tc>
          <w:tcPr>
            <w:tcW w:w="1495" w:type="dxa"/>
          </w:tcPr>
          <w:p w14:paraId="54B86418" w14:textId="77777777" w:rsidR="00931A00" w:rsidRPr="004037E5" w:rsidRDefault="00931A00" w:rsidP="00931A00">
            <w:pPr>
              <w:jc w:val="center"/>
              <w:rPr>
                <w:rFonts w:cs="Arial"/>
                <w:noProof/>
              </w:rPr>
            </w:pPr>
            <w:r w:rsidRPr="004037E5">
              <w:t>18 (56.2%)</w:t>
            </w:r>
          </w:p>
        </w:tc>
      </w:tr>
      <w:tr w:rsidR="000A6CD3" w:rsidRPr="004037E5" w14:paraId="11878A87" w14:textId="77777777" w:rsidTr="00BF58BC">
        <w:tc>
          <w:tcPr>
            <w:tcW w:w="1984" w:type="dxa"/>
          </w:tcPr>
          <w:p w14:paraId="2684EC63" w14:textId="1DD17398" w:rsidR="000A6CD3" w:rsidRPr="004037E5" w:rsidRDefault="000A6CD3" w:rsidP="000A6CD3">
            <w:pPr>
              <w:rPr>
                <w:rFonts w:cs="Arial"/>
                <w:noProof/>
              </w:rPr>
            </w:pPr>
            <w:r w:rsidRPr="004037E5">
              <w:rPr>
                <w:rFonts w:cs="Arial"/>
                <w:b/>
                <w:bCs/>
              </w:rPr>
              <w:t>Patient reported adherence,</w:t>
            </w:r>
            <w:r w:rsidRPr="004037E5">
              <w:rPr>
                <w:rFonts w:cs="Arial"/>
              </w:rPr>
              <w:t xml:space="preserve"> </w:t>
            </w:r>
            <w:r w:rsidR="00B94666" w:rsidRPr="004037E5">
              <w:rPr>
                <w:rFonts w:cs="Arial"/>
              </w:rPr>
              <w:t>median (IQR)</w:t>
            </w:r>
            <w:r w:rsidR="004F3A76" w:rsidRPr="004037E5">
              <w:rPr>
                <w:rFonts w:cs="Arial"/>
              </w:rPr>
              <w:t xml:space="preserve"> </w:t>
            </w:r>
            <w:r w:rsidR="004F3A76" w:rsidRPr="004037E5">
              <w:rPr>
                <w:rFonts w:cs="Arial"/>
                <w:noProof/>
              </w:rPr>
              <w:t>mean (SD)</w:t>
            </w:r>
          </w:p>
        </w:tc>
        <w:tc>
          <w:tcPr>
            <w:tcW w:w="1496" w:type="dxa"/>
            <w:vAlign w:val="bottom"/>
          </w:tcPr>
          <w:p w14:paraId="546D540D" w14:textId="684F1E55" w:rsidR="003A2B03" w:rsidRPr="004037E5" w:rsidRDefault="000A6CD3" w:rsidP="00BF58BC">
            <w:pPr>
              <w:jc w:val="center"/>
              <w:rPr>
                <w:rFonts w:cs="Arial"/>
                <w:noProof/>
              </w:rPr>
            </w:pPr>
            <w:r w:rsidRPr="004037E5">
              <w:rPr>
                <w:lang w:val="en-US"/>
              </w:rPr>
              <w:t>9.0 (8.0</w:t>
            </w:r>
            <w:r w:rsidR="00027B46">
              <w:rPr>
                <w:rFonts w:cs="Arial"/>
              </w:rPr>
              <w:t>–</w:t>
            </w:r>
            <w:r w:rsidRPr="004037E5">
              <w:rPr>
                <w:lang w:val="en-US"/>
              </w:rPr>
              <w:t>10.0)</w:t>
            </w:r>
            <w:r w:rsidR="00BF58BC">
              <w:rPr>
                <w:lang w:val="en-US"/>
              </w:rPr>
              <w:br/>
            </w:r>
            <w:r w:rsidR="003A2B03" w:rsidRPr="004037E5">
              <w:rPr>
                <w:rFonts w:cs="Arial"/>
                <w:noProof/>
              </w:rPr>
              <w:t>9.0 (1.3)</w:t>
            </w:r>
          </w:p>
        </w:tc>
        <w:tc>
          <w:tcPr>
            <w:tcW w:w="1496" w:type="dxa"/>
            <w:vAlign w:val="bottom"/>
          </w:tcPr>
          <w:p w14:paraId="013E5882" w14:textId="457C06EB" w:rsidR="00D55936" w:rsidRPr="004037E5" w:rsidRDefault="000A6CD3" w:rsidP="00BF58BC">
            <w:pPr>
              <w:jc w:val="center"/>
              <w:rPr>
                <w:rFonts w:cs="Arial"/>
                <w:noProof/>
              </w:rPr>
            </w:pPr>
            <w:r w:rsidRPr="004037E5">
              <w:rPr>
                <w:lang w:val="en-US"/>
              </w:rPr>
              <w:t>9.5 (7.6</w:t>
            </w:r>
            <w:r w:rsidR="00027B46">
              <w:rPr>
                <w:rFonts w:cs="Arial"/>
              </w:rPr>
              <w:t>–</w:t>
            </w:r>
            <w:r w:rsidRPr="004037E5">
              <w:rPr>
                <w:lang w:val="en-US"/>
              </w:rPr>
              <w:t>10.0)</w:t>
            </w:r>
            <w:r w:rsidR="00BF58BC">
              <w:rPr>
                <w:lang w:val="en-US"/>
              </w:rPr>
              <w:br/>
            </w:r>
            <w:r w:rsidR="00D55936" w:rsidRPr="004037E5">
              <w:rPr>
                <w:rFonts w:cs="Arial"/>
                <w:noProof/>
              </w:rPr>
              <w:t>8.8 (1.5)</w:t>
            </w:r>
          </w:p>
        </w:tc>
        <w:tc>
          <w:tcPr>
            <w:tcW w:w="1496" w:type="dxa"/>
            <w:vAlign w:val="bottom"/>
          </w:tcPr>
          <w:p w14:paraId="4FD62846" w14:textId="23EC591D" w:rsidR="000A6CD3" w:rsidRPr="004037E5" w:rsidRDefault="008D58EE" w:rsidP="00BF58BC">
            <w:pPr>
              <w:jc w:val="center"/>
              <w:rPr>
                <w:rFonts w:cs="Arial"/>
                <w:noProof/>
              </w:rPr>
            </w:pPr>
            <w:r w:rsidRPr="004037E5">
              <w:rPr>
                <w:rFonts w:cs="Arial"/>
                <w:noProof/>
              </w:rPr>
              <w:t xml:space="preserve">10.0 </w:t>
            </w:r>
            <w:r w:rsidR="009E7CE1" w:rsidRPr="004037E5">
              <w:rPr>
                <w:rFonts w:cs="Arial"/>
                <w:noProof/>
              </w:rPr>
              <w:t>(</w:t>
            </w:r>
            <w:r w:rsidRPr="004037E5">
              <w:rPr>
                <w:rFonts w:cs="Arial"/>
                <w:noProof/>
              </w:rPr>
              <w:t>9.0</w:t>
            </w:r>
            <w:r w:rsidR="00027B46">
              <w:rPr>
                <w:rFonts w:cs="Arial"/>
              </w:rPr>
              <w:t>–</w:t>
            </w:r>
            <w:r w:rsidRPr="004037E5">
              <w:rPr>
                <w:rFonts w:cs="Arial"/>
                <w:noProof/>
              </w:rPr>
              <w:t>10.0</w:t>
            </w:r>
            <w:r w:rsidR="009E7CE1" w:rsidRPr="004037E5">
              <w:rPr>
                <w:rFonts w:cs="Arial"/>
                <w:noProof/>
              </w:rPr>
              <w:t>)</w:t>
            </w:r>
            <w:r w:rsidR="00BF58BC">
              <w:rPr>
                <w:rFonts w:cs="Arial"/>
                <w:noProof/>
              </w:rPr>
              <w:br/>
            </w:r>
            <w:r w:rsidR="000A6CD3" w:rsidRPr="004037E5">
              <w:rPr>
                <w:rFonts w:cs="Arial"/>
                <w:noProof/>
              </w:rPr>
              <w:t>9.1 (1.3)</w:t>
            </w:r>
          </w:p>
        </w:tc>
        <w:tc>
          <w:tcPr>
            <w:tcW w:w="1496" w:type="dxa"/>
            <w:vAlign w:val="bottom"/>
          </w:tcPr>
          <w:p w14:paraId="65D3F659" w14:textId="7A5B7B25" w:rsidR="000A6CD3" w:rsidRPr="004037E5" w:rsidRDefault="008020D5" w:rsidP="00BF58BC">
            <w:pPr>
              <w:jc w:val="center"/>
              <w:rPr>
                <w:rFonts w:cs="Arial"/>
                <w:noProof/>
              </w:rPr>
            </w:pPr>
            <w:r w:rsidRPr="004037E5">
              <w:t xml:space="preserve">9.0 </w:t>
            </w:r>
            <w:r w:rsidR="00D978CB" w:rsidRPr="004037E5">
              <w:t>(</w:t>
            </w:r>
            <w:r w:rsidRPr="004037E5">
              <w:t>7.0</w:t>
            </w:r>
            <w:r w:rsidR="00027B46">
              <w:rPr>
                <w:rFonts w:cs="Arial"/>
              </w:rPr>
              <w:t>–</w:t>
            </w:r>
            <w:r w:rsidRPr="004037E5">
              <w:t>10.0</w:t>
            </w:r>
            <w:r w:rsidR="00D978CB" w:rsidRPr="004037E5">
              <w:t>)</w:t>
            </w:r>
            <w:r w:rsidR="00BF58BC">
              <w:br/>
            </w:r>
            <w:r w:rsidR="000A6CD3" w:rsidRPr="004037E5">
              <w:t>8.7 (1.5)</w:t>
            </w:r>
          </w:p>
        </w:tc>
        <w:tc>
          <w:tcPr>
            <w:tcW w:w="1495" w:type="dxa"/>
            <w:vAlign w:val="bottom"/>
          </w:tcPr>
          <w:p w14:paraId="0F9E8F60" w14:textId="47864181" w:rsidR="00F20B73" w:rsidRPr="004037E5" w:rsidRDefault="000A6CD3" w:rsidP="00BF58BC">
            <w:pPr>
              <w:jc w:val="center"/>
              <w:rPr>
                <w:rFonts w:cs="Arial"/>
                <w:noProof/>
              </w:rPr>
            </w:pPr>
            <w:r w:rsidRPr="004037E5">
              <w:rPr>
                <w:lang w:val="en-US"/>
              </w:rPr>
              <w:t>9.6 (7.0</w:t>
            </w:r>
            <w:r w:rsidR="00027B46">
              <w:rPr>
                <w:rFonts w:cs="Arial"/>
              </w:rPr>
              <w:t>–</w:t>
            </w:r>
            <w:r w:rsidRPr="004037E5">
              <w:rPr>
                <w:lang w:val="en-US"/>
              </w:rPr>
              <w:t>10.0)</w:t>
            </w:r>
            <w:r w:rsidR="00BF58BC">
              <w:rPr>
                <w:lang w:val="en-US"/>
              </w:rPr>
              <w:br/>
            </w:r>
            <w:r w:rsidR="00E772E7" w:rsidRPr="004037E5">
              <w:rPr>
                <w:rFonts w:cs="Arial"/>
                <w:noProof/>
              </w:rPr>
              <w:t>8.7 (1.6)</w:t>
            </w:r>
          </w:p>
        </w:tc>
        <w:tc>
          <w:tcPr>
            <w:tcW w:w="1495" w:type="dxa"/>
            <w:vAlign w:val="bottom"/>
          </w:tcPr>
          <w:p w14:paraId="50EEFD96" w14:textId="395339CA" w:rsidR="00F20B73" w:rsidRPr="004037E5" w:rsidRDefault="000A6CD3" w:rsidP="00BF58BC">
            <w:pPr>
              <w:jc w:val="center"/>
              <w:rPr>
                <w:rFonts w:cs="Arial"/>
                <w:noProof/>
              </w:rPr>
            </w:pPr>
            <w:r w:rsidRPr="004037E5">
              <w:rPr>
                <w:lang w:val="en-US"/>
              </w:rPr>
              <w:t>9.5 (8.0</w:t>
            </w:r>
            <w:r w:rsidR="00027B46">
              <w:rPr>
                <w:rFonts w:cs="Arial"/>
              </w:rPr>
              <w:t>–</w:t>
            </w:r>
            <w:r w:rsidRPr="004037E5">
              <w:rPr>
                <w:lang w:val="en-US"/>
              </w:rPr>
              <w:t>10.0)</w:t>
            </w:r>
            <w:r w:rsidR="00BF58BC">
              <w:rPr>
                <w:lang w:val="en-US"/>
              </w:rPr>
              <w:br/>
            </w:r>
            <w:r w:rsidR="00FB4463" w:rsidRPr="004037E5">
              <w:rPr>
                <w:rFonts w:cs="Arial"/>
                <w:noProof/>
              </w:rPr>
              <w:t>9.0 (1.2)</w:t>
            </w:r>
          </w:p>
        </w:tc>
        <w:tc>
          <w:tcPr>
            <w:tcW w:w="1495" w:type="dxa"/>
            <w:vAlign w:val="bottom"/>
          </w:tcPr>
          <w:p w14:paraId="7B8347AB" w14:textId="70B922F6" w:rsidR="000A6CD3" w:rsidRPr="004037E5" w:rsidRDefault="00361F9E" w:rsidP="00BF58BC">
            <w:pPr>
              <w:jc w:val="center"/>
              <w:rPr>
                <w:rFonts w:cs="Arial"/>
                <w:noProof/>
              </w:rPr>
            </w:pPr>
            <w:r w:rsidRPr="004037E5">
              <w:rPr>
                <w:rFonts w:cs="Arial"/>
                <w:noProof/>
              </w:rPr>
              <w:t xml:space="preserve">9.0 </w:t>
            </w:r>
            <w:r w:rsidR="00226115" w:rsidRPr="004037E5">
              <w:rPr>
                <w:rFonts w:cs="Arial"/>
                <w:noProof/>
              </w:rPr>
              <w:t>(</w:t>
            </w:r>
            <w:r w:rsidRPr="004037E5">
              <w:rPr>
                <w:rFonts w:cs="Arial"/>
                <w:noProof/>
              </w:rPr>
              <w:t>7.0</w:t>
            </w:r>
            <w:r w:rsidR="00027B46">
              <w:rPr>
                <w:rFonts w:cs="Arial"/>
              </w:rPr>
              <w:t>–</w:t>
            </w:r>
            <w:r w:rsidRPr="004037E5">
              <w:rPr>
                <w:rFonts w:cs="Arial"/>
                <w:noProof/>
              </w:rPr>
              <w:t>10.0</w:t>
            </w:r>
            <w:r w:rsidR="00226115" w:rsidRPr="004037E5">
              <w:rPr>
                <w:rFonts w:cs="Arial"/>
                <w:noProof/>
              </w:rPr>
              <w:t>)</w:t>
            </w:r>
            <w:r w:rsidR="00BF58BC">
              <w:rPr>
                <w:rFonts w:cs="Arial"/>
                <w:noProof/>
              </w:rPr>
              <w:br/>
            </w:r>
            <w:r w:rsidR="000A6CD3" w:rsidRPr="004037E5">
              <w:rPr>
                <w:rFonts w:cs="Arial"/>
                <w:noProof/>
              </w:rPr>
              <w:t>8.6 (1.6)</w:t>
            </w:r>
          </w:p>
        </w:tc>
        <w:tc>
          <w:tcPr>
            <w:tcW w:w="1495" w:type="dxa"/>
            <w:vAlign w:val="bottom"/>
          </w:tcPr>
          <w:p w14:paraId="766165B3" w14:textId="48413993" w:rsidR="000A6CD3" w:rsidRPr="004037E5" w:rsidRDefault="00361F9E" w:rsidP="00BF58BC">
            <w:pPr>
              <w:jc w:val="center"/>
              <w:rPr>
                <w:rFonts w:cs="Arial"/>
                <w:noProof/>
              </w:rPr>
            </w:pPr>
            <w:r w:rsidRPr="004037E5">
              <w:rPr>
                <w:rFonts w:cs="Arial"/>
                <w:noProof/>
              </w:rPr>
              <w:t xml:space="preserve">8.0 </w:t>
            </w:r>
            <w:r w:rsidR="00226115" w:rsidRPr="004037E5">
              <w:rPr>
                <w:rFonts w:cs="Arial"/>
                <w:noProof/>
              </w:rPr>
              <w:t>(</w:t>
            </w:r>
            <w:r w:rsidRPr="004037E5">
              <w:rPr>
                <w:rFonts w:cs="Arial"/>
                <w:noProof/>
              </w:rPr>
              <w:t>8.0</w:t>
            </w:r>
            <w:r w:rsidR="00027B46">
              <w:rPr>
                <w:rFonts w:cs="Arial"/>
              </w:rPr>
              <w:t>–</w:t>
            </w:r>
            <w:r w:rsidRPr="004037E5">
              <w:rPr>
                <w:rFonts w:cs="Arial"/>
                <w:noProof/>
              </w:rPr>
              <w:t>10.0</w:t>
            </w:r>
            <w:r w:rsidR="00226115" w:rsidRPr="004037E5">
              <w:rPr>
                <w:rFonts w:cs="Arial"/>
                <w:noProof/>
              </w:rPr>
              <w:t>)</w:t>
            </w:r>
            <w:r w:rsidR="00BF58BC">
              <w:rPr>
                <w:rFonts w:cs="Arial"/>
                <w:noProof/>
              </w:rPr>
              <w:br/>
            </w:r>
            <w:r w:rsidR="000A6CD3" w:rsidRPr="004037E5">
              <w:rPr>
                <w:rFonts w:cs="Arial"/>
                <w:noProof/>
              </w:rPr>
              <w:t>8.5 (1.2)</w:t>
            </w:r>
          </w:p>
        </w:tc>
      </w:tr>
      <w:tr w:rsidR="000A6CD3" w:rsidRPr="004037E5" w14:paraId="23FD8CE3" w14:textId="77777777" w:rsidTr="00144488">
        <w:tc>
          <w:tcPr>
            <w:tcW w:w="13948" w:type="dxa"/>
            <w:gridSpan w:val="9"/>
          </w:tcPr>
          <w:p w14:paraId="17DA1252" w14:textId="77777777" w:rsidR="000A6CD3" w:rsidRPr="004037E5" w:rsidRDefault="000A6CD3" w:rsidP="000A6CD3">
            <w:pPr>
              <w:rPr>
                <w:rFonts w:cs="Arial"/>
                <w:noProof/>
              </w:rPr>
            </w:pPr>
            <w:r w:rsidRPr="004037E5">
              <w:rPr>
                <w:rFonts w:cs="Arial"/>
                <w:b/>
                <w:bCs/>
              </w:rPr>
              <w:t>Chronic pain,</w:t>
            </w:r>
            <w:r w:rsidRPr="004037E5">
              <w:rPr>
                <w:rFonts w:cs="Arial"/>
              </w:rPr>
              <w:t xml:space="preserve"> n (%)</w:t>
            </w:r>
          </w:p>
        </w:tc>
      </w:tr>
      <w:tr w:rsidR="000A6CD3" w:rsidRPr="004037E5" w14:paraId="2F706530" w14:textId="77777777" w:rsidTr="00144488">
        <w:tc>
          <w:tcPr>
            <w:tcW w:w="1984" w:type="dxa"/>
          </w:tcPr>
          <w:p w14:paraId="5112A3AD" w14:textId="77777777" w:rsidR="000A6CD3" w:rsidRPr="004037E5" w:rsidRDefault="000A6CD3" w:rsidP="000A6CD3">
            <w:pPr>
              <w:ind w:left="170"/>
              <w:rPr>
                <w:rFonts w:cs="Arial"/>
                <w:noProof/>
              </w:rPr>
            </w:pPr>
            <w:r w:rsidRPr="004037E5">
              <w:rPr>
                <w:rFonts w:cs="Arial"/>
              </w:rPr>
              <w:t>None</w:t>
            </w:r>
          </w:p>
        </w:tc>
        <w:tc>
          <w:tcPr>
            <w:tcW w:w="1496" w:type="dxa"/>
          </w:tcPr>
          <w:p w14:paraId="531DFB10" w14:textId="77777777" w:rsidR="000A6CD3" w:rsidRPr="004037E5" w:rsidRDefault="000A6CD3" w:rsidP="000A6CD3">
            <w:pPr>
              <w:jc w:val="center"/>
              <w:rPr>
                <w:rFonts w:cs="Arial"/>
                <w:noProof/>
              </w:rPr>
            </w:pPr>
            <w:r w:rsidRPr="004037E5">
              <w:t>5 (23.8%)</w:t>
            </w:r>
          </w:p>
        </w:tc>
        <w:tc>
          <w:tcPr>
            <w:tcW w:w="1496" w:type="dxa"/>
          </w:tcPr>
          <w:p w14:paraId="40357F23" w14:textId="77777777" w:rsidR="000A6CD3" w:rsidRPr="004037E5" w:rsidRDefault="000A6CD3" w:rsidP="000A6CD3">
            <w:pPr>
              <w:jc w:val="center"/>
              <w:rPr>
                <w:rFonts w:cs="Arial"/>
                <w:noProof/>
              </w:rPr>
            </w:pPr>
            <w:r w:rsidRPr="004037E5">
              <w:t>10 (31.2%)</w:t>
            </w:r>
          </w:p>
        </w:tc>
        <w:tc>
          <w:tcPr>
            <w:tcW w:w="1496" w:type="dxa"/>
          </w:tcPr>
          <w:p w14:paraId="5F5B31E3" w14:textId="6E26C5F6" w:rsidR="000A6CD3" w:rsidRPr="004037E5" w:rsidRDefault="000A6CD3" w:rsidP="000A6CD3">
            <w:pPr>
              <w:jc w:val="center"/>
              <w:rPr>
                <w:rFonts w:cs="Arial"/>
                <w:noProof/>
              </w:rPr>
            </w:pPr>
            <w:r w:rsidRPr="004037E5">
              <w:t>13 (24.5%)</w:t>
            </w:r>
          </w:p>
        </w:tc>
        <w:tc>
          <w:tcPr>
            <w:tcW w:w="1496" w:type="dxa"/>
          </w:tcPr>
          <w:p w14:paraId="4895B8F1" w14:textId="1C58AA2C" w:rsidR="000A6CD3" w:rsidRPr="004037E5" w:rsidRDefault="000A6CD3" w:rsidP="000A6CD3">
            <w:pPr>
              <w:jc w:val="center"/>
              <w:rPr>
                <w:rFonts w:cs="Arial"/>
                <w:noProof/>
              </w:rPr>
            </w:pPr>
            <w:r w:rsidRPr="004037E5">
              <w:t>13 (24.5%)</w:t>
            </w:r>
          </w:p>
        </w:tc>
        <w:tc>
          <w:tcPr>
            <w:tcW w:w="1495" w:type="dxa"/>
          </w:tcPr>
          <w:p w14:paraId="32E4C979" w14:textId="77777777" w:rsidR="000A6CD3" w:rsidRPr="004037E5" w:rsidRDefault="000A6CD3" w:rsidP="000A6CD3">
            <w:pPr>
              <w:jc w:val="center"/>
              <w:rPr>
                <w:rFonts w:cs="Arial"/>
                <w:noProof/>
              </w:rPr>
            </w:pPr>
            <w:r w:rsidRPr="004037E5">
              <w:t>7 (31.8%)</w:t>
            </w:r>
          </w:p>
        </w:tc>
        <w:tc>
          <w:tcPr>
            <w:tcW w:w="1495" w:type="dxa"/>
          </w:tcPr>
          <w:p w14:paraId="0E11EB38" w14:textId="77777777" w:rsidR="000A6CD3" w:rsidRPr="004037E5" w:rsidRDefault="000A6CD3" w:rsidP="000A6CD3">
            <w:pPr>
              <w:jc w:val="center"/>
              <w:rPr>
                <w:rFonts w:cs="Arial"/>
                <w:noProof/>
              </w:rPr>
            </w:pPr>
            <w:r w:rsidRPr="004037E5">
              <w:t>3 (30.0%)</w:t>
            </w:r>
          </w:p>
        </w:tc>
        <w:tc>
          <w:tcPr>
            <w:tcW w:w="1495" w:type="dxa"/>
          </w:tcPr>
          <w:p w14:paraId="60798907" w14:textId="77777777" w:rsidR="000A6CD3" w:rsidRPr="004037E5" w:rsidRDefault="000A6CD3" w:rsidP="000A6CD3">
            <w:pPr>
              <w:jc w:val="center"/>
              <w:rPr>
                <w:rFonts w:cs="Arial"/>
                <w:noProof/>
              </w:rPr>
            </w:pPr>
            <w:r w:rsidRPr="004037E5">
              <w:t>9 (28.1%)</w:t>
            </w:r>
          </w:p>
        </w:tc>
        <w:tc>
          <w:tcPr>
            <w:tcW w:w="1495" w:type="dxa"/>
          </w:tcPr>
          <w:p w14:paraId="318AA889" w14:textId="1F8C8D34" w:rsidR="000A6CD3" w:rsidRPr="004037E5" w:rsidRDefault="000A6CD3" w:rsidP="000A6CD3">
            <w:pPr>
              <w:jc w:val="center"/>
              <w:rPr>
                <w:rFonts w:cs="Arial"/>
                <w:noProof/>
              </w:rPr>
            </w:pPr>
            <w:r w:rsidRPr="004037E5">
              <w:t>7 (21.9%)</w:t>
            </w:r>
          </w:p>
        </w:tc>
      </w:tr>
      <w:tr w:rsidR="000A6CD3" w:rsidRPr="004037E5" w14:paraId="70C0C462" w14:textId="77777777" w:rsidTr="00144488">
        <w:tc>
          <w:tcPr>
            <w:tcW w:w="1984" w:type="dxa"/>
          </w:tcPr>
          <w:p w14:paraId="05E6BEFA" w14:textId="77777777" w:rsidR="000A6CD3" w:rsidRPr="004037E5" w:rsidRDefault="000A6CD3" w:rsidP="000A6CD3">
            <w:pPr>
              <w:ind w:left="170"/>
              <w:rPr>
                <w:rFonts w:cs="Arial"/>
                <w:noProof/>
              </w:rPr>
            </w:pPr>
            <w:r w:rsidRPr="004037E5">
              <w:rPr>
                <w:rFonts w:cs="Arial"/>
              </w:rPr>
              <w:t>Mild</w:t>
            </w:r>
          </w:p>
        </w:tc>
        <w:tc>
          <w:tcPr>
            <w:tcW w:w="1496" w:type="dxa"/>
          </w:tcPr>
          <w:p w14:paraId="00393CD0" w14:textId="77777777" w:rsidR="000A6CD3" w:rsidRPr="004037E5" w:rsidRDefault="000A6CD3" w:rsidP="000A6CD3">
            <w:pPr>
              <w:jc w:val="center"/>
              <w:rPr>
                <w:rFonts w:cs="Arial"/>
                <w:noProof/>
              </w:rPr>
            </w:pPr>
            <w:r w:rsidRPr="004037E5">
              <w:t>6 (28.6%)</w:t>
            </w:r>
          </w:p>
        </w:tc>
        <w:tc>
          <w:tcPr>
            <w:tcW w:w="1496" w:type="dxa"/>
          </w:tcPr>
          <w:p w14:paraId="2EDEAFAF" w14:textId="77777777" w:rsidR="000A6CD3" w:rsidRPr="004037E5" w:rsidRDefault="000A6CD3" w:rsidP="000A6CD3">
            <w:pPr>
              <w:jc w:val="center"/>
              <w:rPr>
                <w:rFonts w:cs="Arial"/>
                <w:noProof/>
              </w:rPr>
            </w:pPr>
            <w:r w:rsidRPr="004037E5">
              <w:t>7 (21.9%)</w:t>
            </w:r>
          </w:p>
        </w:tc>
        <w:tc>
          <w:tcPr>
            <w:tcW w:w="1496" w:type="dxa"/>
          </w:tcPr>
          <w:p w14:paraId="3006A84A" w14:textId="5F318E0C" w:rsidR="000A6CD3" w:rsidRPr="004037E5" w:rsidRDefault="000A6CD3" w:rsidP="000A6CD3">
            <w:pPr>
              <w:jc w:val="center"/>
              <w:rPr>
                <w:rFonts w:cs="Arial"/>
                <w:noProof/>
              </w:rPr>
            </w:pPr>
            <w:r w:rsidRPr="004037E5">
              <w:t>10 (18.9%)</w:t>
            </w:r>
          </w:p>
        </w:tc>
        <w:tc>
          <w:tcPr>
            <w:tcW w:w="1496" w:type="dxa"/>
          </w:tcPr>
          <w:p w14:paraId="0A72ED56" w14:textId="27D466E3" w:rsidR="000A6CD3" w:rsidRPr="004037E5" w:rsidRDefault="000A6CD3" w:rsidP="000A6CD3">
            <w:pPr>
              <w:jc w:val="center"/>
              <w:rPr>
                <w:rFonts w:cs="Arial"/>
                <w:noProof/>
              </w:rPr>
            </w:pPr>
            <w:r w:rsidRPr="004037E5">
              <w:t>13 (24.5%)</w:t>
            </w:r>
          </w:p>
        </w:tc>
        <w:tc>
          <w:tcPr>
            <w:tcW w:w="1495" w:type="dxa"/>
          </w:tcPr>
          <w:p w14:paraId="7607B689" w14:textId="77777777" w:rsidR="000A6CD3" w:rsidRPr="004037E5" w:rsidRDefault="000A6CD3" w:rsidP="000A6CD3">
            <w:pPr>
              <w:jc w:val="center"/>
              <w:rPr>
                <w:rFonts w:cs="Arial"/>
                <w:noProof/>
              </w:rPr>
            </w:pPr>
            <w:r w:rsidRPr="004037E5">
              <w:t>4 (18.2%)</w:t>
            </w:r>
          </w:p>
        </w:tc>
        <w:tc>
          <w:tcPr>
            <w:tcW w:w="1495" w:type="dxa"/>
          </w:tcPr>
          <w:p w14:paraId="20F28BC0" w14:textId="77777777" w:rsidR="000A6CD3" w:rsidRPr="004037E5" w:rsidRDefault="000A6CD3" w:rsidP="000A6CD3">
            <w:pPr>
              <w:jc w:val="center"/>
              <w:rPr>
                <w:rFonts w:cs="Arial"/>
                <w:noProof/>
              </w:rPr>
            </w:pPr>
            <w:r w:rsidRPr="004037E5">
              <w:t>3 (30.0%)</w:t>
            </w:r>
          </w:p>
        </w:tc>
        <w:tc>
          <w:tcPr>
            <w:tcW w:w="1495" w:type="dxa"/>
          </w:tcPr>
          <w:p w14:paraId="13E80079" w14:textId="77777777" w:rsidR="000A6CD3" w:rsidRPr="004037E5" w:rsidRDefault="000A6CD3" w:rsidP="000A6CD3">
            <w:pPr>
              <w:jc w:val="center"/>
              <w:rPr>
                <w:rFonts w:cs="Arial"/>
                <w:noProof/>
              </w:rPr>
            </w:pPr>
            <w:r w:rsidRPr="004037E5">
              <w:t>6 (18.8%)</w:t>
            </w:r>
          </w:p>
        </w:tc>
        <w:tc>
          <w:tcPr>
            <w:tcW w:w="1495" w:type="dxa"/>
          </w:tcPr>
          <w:p w14:paraId="4666CC84" w14:textId="677224F9" w:rsidR="000A6CD3" w:rsidRPr="004037E5" w:rsidRDefault="000A6CD3" w:rsidP="000A6CD3">
            <w:pPr>
              <w:jc w:val="center"/>
              <w:rPr>
                <w:rFonts w:cs="Arial"/>
                <w:noProof/>
              </w:rPr>
            </w:pPr>
            <w:r w:rsidRPr="004037E5">
              <w:t xml:space="preserve">4 (12.5%)  </w:t>
            </w:r>
          </w:p>
        </w:tc>
      </w:tr>
      <w:tr w:rsidR="000A6CD3" w:rsidRPr="004037E5" w14:paraId="07C1383D" w14:textId="77777777" w:rsidTr="00144488">
        <w:tc>
          <w:tcPr>
            <w:tcW w:w="1984" w:type="dxa"/>
          </w:tcPr>
          <w:p w14:paraId="2E3ADB0A" w14:textId="77777777" w:rsidR="000A6CD3" w:rsidRPr="004037E5" w:rsidRDefault="000A6CD3" w:rsidP="000A6CD3">
            <w:pPr>
              <w:ind w:left="170"/>
              <w:rPr>
                <w:rFonts w:cs="Arial"/>
                <w:noProof/>
              </w:rPr>
            </w:pPr>
            <w:r w:rsidRPr="004037E5">
              <w:rPr>
                <w:rFonts w:cs="Arial"/>
              </w:rPr>
              <w:t>Moderate</w:t>
            </w:r>
          </w:p>
        </w:tc>
        <w:tc>
          <w:tcPr>
            <w:tcW w:w="1496" w:type="dxa"/>
          </w:tcPr>
          <w:p w14:paraId="22F1D6CA" w14:textId="77777777" w:rsidR="000A6CD3" w:rsidRPr="004037E5" w:rsidRDefault="000A6CD3" w:rsidP="000A6CD3">
            <w:pPr>
              <w:jc w:val="center"/>
              <w:rPr>
                <w:rFonts w:cs="Arial"/>
                <w:noProof/>
              </w:rPr>
            </w:pPr>
            <w:r w:rsidRPr="004037E5">
              <w:t>8 (38.1%)</w:t>
            </w:r>
          </w:p>
        </w:tc>
        <w:tc>
          <w:tcPr>
            <w:tcW w:w="1496" w:type="dxa"/>
          </w:tcPr>
          <w:p w14:paraId="32C9DA27" w14:textId="77777777" w:rsidR="000A6CD3" w:rsidRPr="004037E5" w:rsidRDefault="000A6CD3" w:rsidP="000A6CD3">
            <w:pPr>
              <w:jc w:val="center"/>
              <w:rPr>
                <w:rFonts w:cs="Arial"/>
                <w:noProof/>
              </w:rPr>
            </w:pPr>
            <w:r w:rsidRPr="004037E5">
              <w:t>13 (40.6%)</w:t>
            </w:r>
          </w:p>
        </w:tc>
        <w:tc>
          <w:tcPr>
            <w:tcW w:w="1496" w:type="dxa"/>
          </w:tcPr>
          <w:p w14:paraId="04C2CAAF" w14:textId="46661AD7" w:rsidR="000A6CD3" w:rsidRPr="004037E5" w:rsidRDefault="000A6CD3" w:rsidP="000A6CD3">
            <w:pPr>
              <w:jc w:val="center"/>
              <w:rPr>
                <w:rFonts w:cs="Arial"/>
                <w:noProof/>
              </w:rPr>
            </w:pPr>
            <w:r w:rsidRPr="004037E5">
              <w:t>26 (49.1%)</w:t>
            </w:r>
          </w:p>
        </w:tc>
        <w:tc>
          <w:tcPr>
            <w:tcW w:w="1496" w:type="dxa"/>
          </w:tcPr>
          <w:p w14:paraId="3FE65E1C" w14:textId="53168445" w:rsidR="000A6CD3" w:rsidRPr="004037E5" w:rsidRDefault="000A6CD3" w:rsidP="000A6CD3">
            <w:pPr>
              <w:jc w:val="center"/>
              <w:rPr>
                <w:rFonts w:cs="Arial"/>
                <w:noProof/>
              </w:rPr>
            </w:pPr>
            <w:r w:rsidRPr="004037E5">
              <w:t xml:space="preserve">22 (41.5%)  </w:t>
            </w:r>
          </w:p>
        </w:tc>
        <w:tc>
          <w:tcPr>
            <w:tcW w:w="1495" w:type="dxa"/>
          </w:tcPr>
          <w:p w14:paraId="03B53D67" w14:textId="77777777" w:rsidR="000A6CD3" w:rsidRPr="004037E5" w:rsidRDefault="000A6CD3" w:rsidP="000A6CD3">
            <w:pPr>
              <w:jc w:val="center"/>
              <w:rPr>
                <w:rFonts w:cs="Arial"/>
                <w:noProof/>
              </w:rPr>
            </w:pPr>
            <w:r w:rsidRPr="004037E5">
              <w:t>10 (45.5%)</w:t>
            </w:r>
          </w:p>
        </w:tc>
        <w:tc>
          <w:tcPr>
            <w:tcW w:w="1495" w:type="dxa"/>
          </w:tcPr>
          <w:p w14:paraId="5B015B1A" w14:textId="77777777" w:rsidR="000A6CD3" w:rsidRPr="004037E5" w:rsidRDefault="000A6CD3" w:rsidP="000A6CD3">
            <w:pPr>
              <w:jc w:val="center"/>
              <w:rPr>
                <w:rFonts w:cs="Arial"/>
                <w:noProof/>
              </w:rPr>
            </w:pPr>
            <w:r w:rsidRPr="004037E5">
              <w:t>3 (30.0%)</w:t>
            </w:r>
          </w:p>
        </w:tc>
        <w:tc>
          <w:tcPr>
            <w:tcW w:w="1495" w:type="dxa"/>
          </w:tcPr>
          <w:p w14:paraId="5E10E79C" w14:textId="18AD7ACB" w:rsidR="000A6CD3" w:rsidRPr="004037E5" w:rsidRDefault="000A6CD3" w:rsidP="000A6CD3">
            <w:pPr>
              <w:jc w:val="center"/>
              <w:rPr>
                <w:rFonts w:cs="Arial"/>
                <w:noProof/>
              </w:rPr>
            </w:pPr>
            <w:r w:rsidRPr="004037E5">
              <w:t>13 (40.6%)</w:t>
            </w:r>
          </w:p>
        </w:tc>
        <w:tc>
          <w:tcPr>
            <w:tcW w:w="1495" w:type="dxa"/>
          </w:tcPr>
          <w:p w14:paraId="49922C7B" w14:textId="0CD32E38" w:rsidR="000A6CD3" w:rsidRPr="004037E5" w:rsidRDefault="000A6CD3" w:rsidP="000A6CD3">
            <w:pPr>
              <w:jc w:val="center"/>
              <w:rPr>
                <w:rFonts w:cs="Arial"/>
                <w:noProof/>
              </w:rPr>
            </w:pPr>
            <w:r w:rsidRPr="004037E5">
              <w:t>20 (62.5%)</w:t>
            </w:r>
          </w:p>
        </w:tc>
      </w:tr>
      <w:tr w:rsidR="000A6CD3" w:rsidRPr="004037E5" w14:paraId="5B9E92CA" w14:textId="77777777" w:rsidTr="00144488">
        <w:tc>
          <w:tcPr>
            <w:tcW w:w="1984" w:type="dxa"/>
          </w:tcPr>
          <w:p w14:paraId="1A972F90" w14:textId="77777777" w:rsidR="000A6CD3" w:rsidRPr="004037E5" w:rsidRDefault="000A6CD3" w:rsidP="000A6CD3">
            <w:pPr>
              <w:ind w:left="170"/>
              <w:rPr>
                <w:rFonts w:cs="Arial"/>
                <w:noProof/>
              </w:rPr>
            </w:pPr>
            <w:r w:rsidRPr="004037E5">
              <w:rPr>
                <w:rFonts w:cs="Arial"/>
              </w:rPr>
              <w:t>Severe</w:t>
            </w:r>
          </w:p>
        </w:tc>
        <w:tc>
          <w:tcPr>
            <w:tcW w:w="1496" w:type="dxa"/>
          </w:tcPr>
          <w:p w14:paraId="35087204" w14:textId="77777777" w:rsidR="000A6CD3" w:rsidRPr="004037E5" w:rsidRDefault="000A6CD3" w:rsidP="000A6CD3">
            <w:pPr>
              <w:jc w:val="center"/>
              <w:rPr>
                <w:rFonts w:cs="Arial"/>
                <w:noProof/>
              </w:rPr>
            </w:pPr>
            <w:r w:rsidRPr="004037E5">
              <w:t>2 (9.5%)</w:t>
            </w:r>
          </w:p>
        </w:tc>
        <w:tc>
          <w:tcPr>
            <w:tcW w:w="1496" w:type="dxa"/>
          </w:tcPr>
          <w:p w14:paraId="200AE0F7" w14:textId="77777777" w:rsidR="000A6CD3" w:rsidRPr="004037E5" w:rsidRDefault="000A6CD3" w:rsidP="000A6CD3">
            <w:pPr>
              <w:jc w:val="center"/>
              <w:rPr>
                <w:rFonts w:cs="Arial"/>
                <w:noProof/>
              </w:rPr>
            </w:pPr>
            <w:r w:rsidRPr="004037E5">
              <w:t>2 (6.2%)</w:t>
            </w:r>
          </w:p>
        </w:tc>
        <w:tc>
          <w:tcPr>
            <w:tcW w:w="1496" w:type="dxa"/>
          </w:tcPr>
          <w:p w14:paraId="5C653194" w14:textId="00A70912" w:rsidR="000A6CD3" w:rsidRPr="004037E5" w:rsidRDefault="000A6CD3" w:rsidP="000A6CD3">
            <w:pPr>
              <w:jc w:val="center"/>
              <w:rPr>
                <w:rFonts w:cs="Arial"/>
                <w:noProof/>
              </w:rPr>
            </w:pPr>
            <w:r w:rsidRPr="004037E5">
              <w:t>4 (7.5%)</w:t>
            </w:r>
          </w:p>
        </w:tc>
        <w:tc>
          <w:tcPr>
            <w:tcW w:w="1496" w:type="dxa"/>
          </w:tcPr>
          <w:p w14:paraId="312BF067" w14:textId="61364C5F" w:rsidR="000A6CD3" w:rsidRPr="004037E5" w:rsidRDefault="000A6CD3" w:rsidP="000A6CD3">
            <w:pPr>
              <w:jc w:val="center"/>
              <w:rPr>
                <w:rFonts w:cs="Arial"/>
                <w:noProof/>
              </w:rPr>
            </w:pPr>
            <w:r w:rsidRPr="004037E5">
              <w:t xml:space="preserve">5 (9.4%)  </w:t>
            </w:r>
          </w:p>
        </w:tc>
        <w:tc>
          <w:tcPr>
            <w:tcW w:w="1495" w:type="dxa"/>
          </w:tcPr>
          <w:p w14:paraId="7DB27FFF" w14:textId="77777777" w:rsidR="000A6CD3" w:rsidRPr="004037E5" w:rsidRDefault="000A6CD3" w:rsidP="000A6CD3">
            <w:pPr>
              <w:jc w:val="center"/>
              <w:rPr>
                <w:rFonts w:cs="Arial"/>
                <w:noProof/>
              </w:rPr>
            </w:pPr>
            <w:r w:rsidRPr="004037E5">
              <w:t>1 (4.5%)</w:t>
            </w:r>
          </w:p>
        </w:tc>
        <w:tc>
          <w:tcPr>
            <w:tcW w:w="1495" w:type="dxa"/>
          </w:tcPr>
          <w:p w14:paraId="43E55F02" w14:textId="77777777" w:rsidR="000A6CD3" w:rsidRPr="004037E5" w:rsidRDefault="000A6CD3" w:rsidP="000A6CD3">
            <w:pPr>
              <w:jc w:val="center"/>
              <w:rPr>
                <w:rFonts w:cs="Arial"/>
                <w:noProof/>
              </w:rPr>
            </w:pPr>
            <w:r w:rsidRPr="004037E5">
              <w:t>1 (10.0%)</w:t>
            </w:r>
          </w:p>
        </w:tc>
        <w:tc>
          <w:tcPr>
            <w:tcW w:w="1495" w:type="dxa"/>
          </w:tcPr>
          <w:p w14:paraId="517AB5DA" w14:textId="7951CDC1" w:rsidR="000A6CD3" w:rsidRPr="004037E5" w:rsidRDefault="000A6CD3" w:rsidP="000A6CD3">
            <w:pPr>
              <w:jc w:val="center"/>
              <w:rPr>
                <w:rFonts w:cs="Arial"/>
                <w:noProof/>
              </w:rPr>
            </w:pPr>
            <w:r w:rsidRPr="004037E5">
              <w:t xml:space="preserve">4 (12.5%)  </w:t>
            </w:r>
          </w:p>
        </w:tc>
        <w:tc>
          <w:tcPr>
            <w:tcW w:w="1495" w:type="dxa"/>
          </w:tcPr>
          <w:p w14:paraId="6B9F5C23" w14:textId="1FF88BA2" w:rsidR="000A6CD3" w:rsidRPr="004037E5" w:rsidRDefault="000A6CD3" w:rsidP="000A6CD3">
            <w:pPr>
              <w:jc w:val="center"/>
              <w:rPr>
                <w:rFonts w:cs="Arial"/>
                <w:noProof/>
              </w:rPr>
            </w:pPr>
            <w:r w:rsidRPr="004037E5">
              <w:t>1 (3.1%)</w:t>
            </w:r>
          </w:p>
        </w:tc>
      </w:tr>
      <w:tr w:rsidR="000A6CD3" w:rsidRPr="004037E5" w14:paraId="6A398E9E" w14:textId="77777777" w:rsidTr="004C33C8">
        <w:tc>
          <w:tcPr>
            <w:tcW w:w="1984" w:type="dxa"/>
          </w:tcPr>
          <w:p w14:paraId="5CBB052D" w14:textId="3D3E5A0E" w:rsidR="000A6CD3" w:rsidRPr="004037E5" w:rsidRDefault="000A6CD3" w:rsidP="004C33C8">
            <w:pPr>
              <w:rPr>
                <w:rFonts w:cs="Arial"/>
              </w:rPr>
            </w:pPr>
            <w:r w:rsidRPr="004037E5">
              <w:rPr>
                <w:rFonts w:cs="Arial"/>
                <w:b/>
                <w:bCs/>
              </w:rPr>
              <w:t>SAT (hours per month),</w:t>
            </w:r>
            <w:r w:rsidRPr="004037E5">
              <w:rPr>
                <w:rFonts w:cs="Arial"/>
              </w:rPr>
              <w:t xml:space="preserve"> </w:t>
            </w:r>
            <w:r w:rsidR="00B94666" w:rsidRPr="004037E5">
              <w:rPr>
                <w:rFonts w:cs="Arial"/>
              </w:rPr>
              <w:t>median (IQR)</w:t>
            </w:r>
            <w:r w:rsidR="00173CA1" w:rsidRPr="004037E5">
              <w:rPr>
                <w:rFonts w:cs="Arial"/>
              </w:rPr>
              <w:t xml:space="preserve"> </w:t>
            </w:r>
            <w:r w:rsidR="004C33C8">
              <w:rPr>
                <w:rFonts w:cs="Arial"/>
              </w:rPr>
              <w:br/>
            </w:r>
            <w:r w:rsidR="00173CA1" w:rsidRPr="004037E5">
              <w:rPr>
                <w:rFonts w:cs="Arial"/>
              </w:rPr>
              <w:t>mean (SD)</w:t>
            </w:r>
            <w:r w:rsidR="004F3A76" w:rsidRPr="004037E5">
              <w:rPr>
                <w:rFonts w:cs="Arial"/>
              </w:rPr>
              <w:t xml:space="preserve"> </w:t>
            </w:r>
          </w:p>
        </w:tc>
        <w:tc>
          <w:tcPr>
            <w:tcW w:w="1496" w:type="dxa"/>
            <w:vAlign w:val="bottom"/>
          </w:tcPr>
          <w:p w14:paraId="08E910E1" w14:textId="326089FF" w:rsidR="000A6CD3" w:rsidRPr="004037E5" w:rsidRDefault="007E4676" w:rsidP="004C33C8">
            <w:pPr>
              <w:jc w:val="center"/>
            </w:pPr>
            <w:r w:rsidRPr="004037E5">
              <w:t>1.7 (0.7</w:t>
            </w:r>
            <w:r w:rsidR="00473F28">
              <w:rPr>
                <w:rFonts w:cs="Arial"/>
              </w:rPr>
              <w:t>–</w:t>
            </w:r>
            <w:r w:rsidRPr="004037E5">
              <w:t>3.0)</w:t>
            </w:r>
          </w:p>
          <w:p w14:paraId="0DC27388" w14:textId="76165930" w:rsidR="00260675" w:rsidRPr="004037E5" w:rsidRDefault="00260675" w:rsidP="004C33C8">
            <w:pPr>
              <w:jc w:val="center"/>
              <w:rPr>
                <w:rFonts w:cs="Arial"/>
                <w:noProof/>
              </w:rPr>
            </w:pPr>
            <w:r w:rsidRPr="004037E5">
              <w:t>3.2 (4.0)</w:t>
            </w:r>
          </w:p>
        </w:tc>
        <w:tc>
          <w:tcPr>
            <w:tcW w:w="1496" w:type="dxa"/>
            <w:vAlign w:val="bottom"/>
          </w:tcPr>
          <w:p w14:paraId="0F173039" w14:textId="45558CF4" w:rsidR="000A6CD3" w:rsidRPr="004037E5" w:rsidRDefault="00CB13BF" w:rsidP="004C33C8">
            <w:pPr>
              <w:jc w:val="center"/>
            </w:pPr>
            <w:r w:rsidRPr="004037E5">
              <w:t>3.3 (1.8</w:t>
            </w:r>
            <w:r w:rsidR="00473F28">
              <w:rPr>
                <w:rFonts w:cs="Arial"/>
              </w:rPr>
              <w:t>–</w:t>
            </w:r>
            <w:r w:rsidRPr="004037E5">
              <w:t>6.2)</w:t>
            </w:r>
          </w:p>
          <w:p w14:paraId="77D6D642" w14:textId="733A540F" w:rsidR="001E34AE" w:rsidRPr="004037E5" w:rsidRDefault="001E34AE" w:rsidP="004C33C8">
            <w:pPr>
              <w:jc w:val="center"/>
              <w:rPr>
                <w:rFonts w:cs="Arial"/>
                <w:noProof/>
              </w:rPr>
            </w:pPr>
            <w:r w:rsidRPr="004037E5">
              <w:t>7.6 (12.0)</w:t>
            </w:r>
          </w:p>
        </w:tc>
        <w:tc>
          <w:tcPr>
            <w:tcW w:w="1496" w:type="dxa"/>
            <w:vAlign w:val="bottom"/>
          </w:tcPr>
          <w:p w14:paraId="0C3F2394" w14:textId="49750BF3" w:rsidR="009E7CE1" w:rsidRPr="004037E5" w:rsidRDefault="008D58EE" w:rsidP="004C33C8">
            <w:pPr>
              <w:jc w:val="center"/>
            </w:pPr>
            <w:r w:rsidRPr="004037E5">
              <w:t xml:space="preserve">1.7 </w:t>
            </w:r>
            <w:r w:rsidR="009E7CE1" w:rsidRPr="004037E5">
              <w:t>(</w:t>
            </w:r>
            <w:r w:rsidRPr="004037E5">
              <w:t>0.5</w:t>
            </w:r>
            <w:r w:rsidR="00473F28">
              <w:rPr>
                <w:rFonts w:cs="Arial"/>
              </w:rPr>
              <w:t>–</w:t>
            </w:r>
            <w:r w:rsidRPr="004037E5">
              <w:t>3.0</w:t>
            </w:r>
            <w:r w:rsidR="009E7CE1" w:rsidRPr="004037E5">
              <w:t>)</w:t>
            </w:r>
          </w:p>
          <w:p w14:paraId="07E6A87A" w14:textId="6D8C3321" w:rsidR="000A6CD3" w:rsidRPr="004037E5" w:rsidRDefault="000A6CD3" w:rsidP="004C33C8">
            <w:pPr>
              <w:jc w:val="center"/>
              <w:rPr>
                <w:rFonts w:cs="Arial"/>
                <w:noProof/>
              </w:rPr>
            </w:pPr>
            <w:r w:rsidRPr="004037E5">
              <w:t>2.7 (3.6)</w:t>
            </w:r>
          </w:p>
        </w:tc>
        <w:tc>
          <w:tcPr>
            <w:tcW w:w="1496" w:type="dxa"/>
            <w:vAlign w:val="bottom"/>
          </w:tcPr>
          <w:p w14:paraId="2F0DAB21" w14:textId="15844197" w:rsidR="00D978CB" w:rsidRPr="004037E5" w:rsidRDefault="00D978CB" w:rsidP="004C33C8">
            <w:pPr>
              <w:jc w:val="center"/>
            </w:pPr>
            <w:r w:rsidRPr="004037E5">
              <w:t>4.0 (2.0</w:t>
            </w:r>
            <w:r w:rsidR="00473F28">
              <w:rPr>
                <w:rFonts w:cs="Arial"/>
              </w:rPr>
              <w:t>–</w:t>
            </w:r>
            <w:r w:rsidRPr="004037E5">
              <w:t>5.3)</w:t>
            </w:r>
          </w:p>
          <w:p w14:paraId="36DA0598" w14:textId="5A8EFE1F" w:rsidR="000A6CD3" w:rsidRPr="004037E5" w:rsidRDefault="000A6CD3" w:rsidP="004C33C8">
            <w:pPr>
              <w:jc w:val="center"/>
              <w:rPr>
                <w:rFonts w:cs="Arial"/>
                <w:noProof/>
              </w:rPr>
            </w:pPr>
            <w:r w:rsidRPr="004037E5">
              <w:t>7.6 (11.4)</w:t>
            </w:r>
          </w:p>
        </w:tc>
        <w:tc>
          <w:tcPr>
            <w:tcW w:w="1495" w:type="dxa"/>
            <w:vAlign w:val="bottom"/>
          </w:tcPr>
          <w:p w14:paraId="0B1373EF" w14:textId="3151B704" w:rsidR="000A6CD3" w:rsidRPr="004037E5" w:rsidRDefault="007C6C7E" w:rsidP="004C33C8">
            <w:pPr>
              <w:jc w:val="center"/>
            </w:pPr>
            <w:r w:rsidRPr="004037E5">
              <w:t>3.0 (1.3</w:t>
            </w:r>
            <w:r w:rsidR="00473F28">
              <w:rPr>
                <w:rFonts w:cs="Arial"/>
              </w:rPr>
              <w:t>–</w:t>
            </w:r>
            <w:r w:rsidRPr="004037E5">
              <w:t>5.3)</w:t>
            </w:r>
          </w:p>
          <w:p w14:paraId="651577AD" w14:textId="3277820A" w:rsidR="00852380" w:rsidRPr="004037E5" w:rsidRDefault="00A54665" w:rsidP="004C33C8">
            <w:pPr>
              <w:jc w:val="center"/>
              <w:rPr>
                <w:rFonts w:cs="Arial"/>
                <w:noProof/>
              </w:rPr>
            </w:pPr>
            <w:r w:rsidRPr="004037E5">
              <w:t>6.0 (10.8)</w:t>
            </w:r>
          </w:p>
        </w:tc>
        <w:tc>
          <w:tcPr>
            <w:tcW w:w="1495" w:type="dxa"/>
            <w:vAlign w:val="bottom"/>
          </w:tcPr>
          <w:p w14:paraId="039D116D" w14:textId="35A06514" w:rsidR="00852380" w:rsidRPr="004037E5" w:rsidRDefault="00B94666" w:rsidP="004C33C8">
            <w:pPr>
              <w:jc w:val="center"/>
              <w:rPr>
                <w:rFonts w:cs="Arial"/>
                <w:noProof/>
              </w:rPr>
            </w:pPr>
            <w:r w:rsidRPr="004037E5">
              <w:t>4.0 (3.0</w:t>
            </w:r>
            <w:r w:rsidR="00473F28">
              <w:rPr>
                <w:rFonts w:cs="Arial"/>
              </w:rPr>
              <w:t>–</w:t>
            </w:r>
            <w:r w:rsidRPr="004037E5">
              <w:t>20.0)</w:t>
            </w:r>
            <w:r w:rsidR="004C33C8">
              <w:br/>
            </w:r>
            <w:r w:rsidR="00F20B73" w:rsidRPr="004037E5">
              <w:t>11.3 (14.3)</w:t>
            </w:r>
          </w:p>
        </w:tc>
        <w:tc>
          <w:tcPr>
            <w:tcW w:w="1495" w:type="dxa"/>
            <w:vAlign w:val="bottom"/>
          </w:tcPr>
          <w:p w14:paraId="7D23A9D0" w14:textId="2A583688" w:rsidR="00226115" w:rsidRPr="004037E5" w:rsidRDefault="00361F9E" w:rsidP="004C33C8">
            <w:pPr>
              <w:jc w:val="center"/>
            </w:pPr>
            <w:r w:rsidRPr="004037E5">
              <w:t xml:space="preserve">3.2 </w:t>
            </w:r>
            <w:r w:rsidR="00226115" w:rsidRPr="004037E5">
              <w:t>(</w:t>
            </w:r>
            <w:r w:rsidRPr="004037E5">
              <w:t>1.3</w:t>
            </w:r>
            <w:r w:rsidR="00473F28">
              <w:rPr>
                <w:rFonts w:cs="Arial"/>
              </w:rPr>
              <w:t>–</w:t>
            </w:r>
            <w:r w:rsidRPr="004037E5">
              <w:t>5.3</w:t>
            </w:r>
            <w:r w:rsidR="00226115" w:rsidRPr="004037E5">
              <w:t>)</w:t>
            </w:r>
          </w:p>
          <w:p w14:paraId="3BB23374" w14:textId="15ABDC00" w:rsidR="000A6CD3" w:rsidRPr="004037E5" w:rsidRDefault="000A6CD3" w:rsidP="004C33C8">
            <w:pPr>
              <w:jc w:val="center"/>
              <w:rPr>
                <w:rFonts w:cs="Arial"/>
                <w:noProof/>
              </w:rPr>
            </w:pPr>
            <w:r w:rsidRPr="004037E5">
              <w:t>5.2 (9.1)</w:t>
            </w:r>
          </w:p>
        </w:tc>
        <w:tc>
          <w:tcPr>
            <w:tcW w:w="1495" w:type="dxa"/>
            <w:vAlign w:val="bottom"/>
          </w:tcPr>
          <w:p w14:paraId="3E6CAD1A" w14:textId="44201CC3" w:rsidR="000A6CD3" w:rsidRPr="004037E5" w:rsidRDefault="00226115" w:rsidP="004C33C8">
            <w:pPr>
              <w:jc w:val="center"/>
              <w:rPr>
                <w:rFonts w:cs="Arial"/>
                <w:noProof/>
              </w:rPr>
            </w:pPr>
            <w:r w:rsidRPr="004037E5">
              <w:t>5.0 (2.8</w:t>
            </w:r>
            <w:r w:rsidR="00473F28">
              <w:rPr>
                <w:rFonts w:cs="Arial"/>
              </w:rPr>
              <w:t>–</w:t>
            </w:r>
            <w:r w:rsidRPr="004037E5">
              <w:t>45.0)</w:t>
            </w:r>
            <w:r w:rsidR="004C33C8">
              <w:br/>
            </w:r>
            <w:r w:rsidR="000A6CD3" w:rsidRPr="004037E5">
              <w:t>20.0 (19.6)</w:t>
            </w:r>
          </w:p>
        </w:tc>
      </w:tr>
    </w:tbl>
    <w:p w14:paraId="5AA26D61" w14:textId="7523FABF" w:rsidR="00B33D8A" w:rsidRDefault="00FB2EE4">
      <w:pPr>
        <w:rPr>
          <w:bCs/>
          <w:i/>
          <w:iCs/>
          <w:lang w:val="en-US"/>
        </w:rPr>
        <w:sectPr w:rsidR="00B33D8A" w:rsidSect="004B7A3F">
          <w:pgSz w:w="16838" w:h="11906" w:orient="landscape"/>
          <w:pgMar w:top="1440" w:right="1440" w:bottom="1440" w:left="1440" w:header="708" w:footer="708" w:gutter="0"/>
          <w:cols w:space="708"/>
          <w:docGrid w:linePitch="360"/>
        </w:sectPr>
      </w:pPr>
      <w:r w:rsidRPr="004037E5">
        <w:rPr>
          <w:bCs/>
          <w:i/>
          <w:iCs/>
          <w:lang w:val="en-US"/>
        </w:rPr>
        <w:t xml:space="preserve">ABR, annual bleed rate; BMI, body mass </w:t>
      </w:r>
      <w:r w:rsidRPr="000B026B">
        <w:rPr>
          <w:bCs/>
          <w:i/>
          <w:iCs/>
          <w:lang w:val="en-US"/>
        </w:rPr>
        <w:t xml:space="preserve">index; </w:t>
      </w:r>
      <w:r w:rsidR="004F3A76" w:rsidRPr="000B026B">
        <w:rPr>
          <w:i/>
          <w:iCs/>
          <w:lang w:val="en-US"/>
        </w:rPr>
        <w:t xml:space="preserve">IQR, interquartile range; </w:t>
      </w:r>
      <w:r w:rsidRPr="000B026B">
        <w:rPr>
          <w:bCs/>
          <w:i/>
          <w:iCs/>
          <w:lang w:val="en-US"/>
        </w:rPr>
        <w:t>PK</w:t>
      </w:r>
      <w:r w:rsidRPr="004037E5">
        <w:rPr>
          <w:bCs/>
          <w:i/>
          <w:iCs/>
          <w:lang w:val="en-US"/>
        </w:rPr>
        <w:t>, pharmacokinetic; SAT, sport active time; SD, standard deviation</w:t>
      </w:r>
    </w:p>
    <w:p w14:paraId="40C465DA" w14:textId="26A6BA28" w:rsidR="00705E59" w:rsidRPr="00B33D8A" w:rsidRDefault="00705E59" w:rsidP="00705E59">
      <w:pPr>
        <w:pStyle w:val="EndNoteBibliography"/>
        <w:spacing w:after="0"/>
        <w:ind w:left="720" w:hanging="720"/>
        <w:rPr>
          <w:b/>
          <w:bCs/>
          <w:sz w:val="28"/>
          <w:szCs w:val="28"/>
        </w:rPr>
      </w:pPr>
      <w:r w:rsidRPr="00B33D8A">
        <w:rPr>
          <w:b/>
          <w:bCs/>
          <w:sz w:val="28"/>
          <w:szCs w:val="28"/>
        </w:rPr>
        <w:lastRenderedPageBreak/>
        <w:t>References</w:t>
      </w:r>
    </w:p>
    <w:p w14:paraId="19CE6B0E" w14:textId="77777777" w:rsidR="00705E59" w:rsidRDefault="00705E59" w:rsidP="00705E59">
      <w:pPr>
        <w:pStyle w:val="EndNoteBibliography"/>
        <w:spacing w:after="0"/>
        <w:ind w:left="720" w:hanging="720"/>
      </w:pPr>
    </w:p>
    <w:p w14:paraId="4EEF97F0" w14:textId="3B6585A2" w:rsidR="00705E59" w:rsidRPr="005D0E4E" w:rsidRDefault="00705E59" w:rsidP="00705E59">
      <w:pPr>
        <w:pStyle w:val="EndNoteBibliography"/>
        <w:spacing w:after="0"/>
        <w:ind w:left="720" w:hanging="720"/>
      </w:pPr>
      <w:r>
        <w:fldChar w:fldCharType="begin"/>
      </w:r>
      <w:r>
        <w:instrText xml:space="preserve"> ADDIN EN.REFLIST </w:instrText>
      </w:r>
      <w:r>
        <w:fldChar w:fldCharType="separate"/>
      </w:r>
      <w:r w:rsidRPr="005D0E4E">
        <w:t>1.</w:t>
      </w:r>
      <w:r w:rsidRPr="005D0E4E">
        <w:tab/>
        <w:t xml:space="preserve">Benedetto U, Head SJ, Angelini GD, Blackstone EH. Statistical primer: propensity score matching and its alternatives. </w:t>
      </w:r>
      <w:r w:rsidRPr="005D0E4E">
        <w:rPr>
          <w:i/>
        </w:rPr>
        <w:t xml:space="preserve">Eur J Cardiothorac Surg. </w:t>
      </w:r>
      <w:r w:rsidRPr="005D0E4E">
        <w:t>2018;53(6):1112-1117.</w:t>
      </w:r>
    </w:p>
    <w:p w14:paraId="58A4B5D7" w14:textId="77777777" w:rsidR="00705E59" w:rsidRPr="005D0E4E" w:rsidRDefault="00705E59" w:rsidP="00705E59">
      <w:pPr>
        <w:pStyle w:val="EndNoteBibliography"/>
        <w:spacing w:after="0"/>
        <w:ind w:left="720" w:hanging="720"/>
      </w:pPr>
      <w:r w:rsidRPr="005D0E4E">
        <w:t>2.</w:t>
      </w:r>
      <w:r w:rsidRPr="005D0E4E">
        <w:tab/>
        <w:t xml:space="preserve">Brookhart MA, Schneeweiss S, Rothman KJ, Glynn RJ, Avorn J, Stürmer T. Variable selection for propensity score models. </w:t>
      </w:r>
      <w:r w:rsidRPr="005D0E4E">
        <w:rPr>
          <w:i/>
        </w:rPr>
        <w:t xml:space="preserve">Am J Epidemiol. </w:t>
      </w:r>
      <w:r w:rsidRPr="005D0E4E">
        <w:t>2006;163(12):1149-1156.</w:t>
      </w:r>
    </w:p>
    <w:p w14:paraId="41E0E946" w14:textId="77777777" w:rsidR="00705E59" w:rsidRPr="005D0E4E" w:rsidRDefault="00705E59" w:rsidP="00705E59">
      <w:pPr>
        <w:pStyle w:val="EndNoteBibliography"/>
        <w:spacing w:after="0"/>
        <w:ind w:left="720" w:hanging="720"/>
      </w:pPr>
      <w:r w:rsidRPr="005D0E4E">
        <w:t>3.</w:t>
      </w:r>
      <w:r w:rsidRPr="005D0E4E">
        <w:tab/>
        <w:t xml:space="preserve">Rubin DB, Thomas N. Matching using estimated propensity scores: relating theory to practice. </w:t>
      </w:r>
      <w:r w:rsidRPr="005D0E4E">
        <w:rPr>
          <w:i/>
        </w:rPr>
        <w:t xml:space="preserve">Biometrics. </w:t>
      </w:r>
      <w:r w:rsidRPr="005D0E4E">
        <w:t>1996;52(1):249-264.</w:t>
      </w:r>
    </w:p>
    <w:p w14:paraId="6C61F90B" w14:textId="77777777" w:rsidR="00705E59" w:rsidRPr="005D0E4E" w:rsidRDefault="00705E59" w:rsidP="00705E59">
      <w:pPr>
        <w:pStyle w:val="EndNoteBibliography"/>
        <w:spacing w:after="0"/>
        <w:ind w:left="720" w:hanging="720"/>
      </w:pPr>
      <w:r w:rsidRPr="005D0E4E">
        <w:t>4.</w:t>
      </w:r>
      <w:r w:rsidRPr="005D0E4E">
        <w:tab/>
        <w:t xml:space="preserve">Austin PC. An Introduction to Propensity Score Methods for Reducing the Effects of Confounding in Observational Studies. </w:t>
      </w:r>
      <w:r w:rsidRPr="005D0E4E">
        <w:rPr>
          <w:i/>
        </w:rPr>
        <w:t xml:space="preserve">Multivariate Behav Res. </w:t>
      </w:r>
      <w:r w:rsidRPr="005D0E4E">
        <w:t>2011;46(3):399-424.</w:t>
      </w:r>
    </w:p>
    <w:p w14:paraId="059C1A4E" w14:textId="77777777" w:rsidR="00705E59" w:rsidRPr="005D0E4E" w:rsidRDefault="00705E59" w:rsidP="00705E59">
      <w:pPr>
        <w:pStyle w:val="EndNoteBibliography"/>
        <w:spacing w:after="0"/>
        <w:ind w:left="720" w:hanging="720"/>
      </w:pPr>
      <w:r w:rsidRPr="005D0E4E">
        <w:t>5.</w:t>
      </w:r>
      <w:r w:rsidRPr="005D0E4E">
        <w:tab/>
        <w:t xml:space="preserve">Dehejia RH, Wahba S. Causal Effects in Nonexperimental Studies: Reevaluating the Evaluation of Training Programs. </w:t>
      </w:r>
      <w:r w:rsidRPr="005D0E4E">
        <w:rPr>
          <w:i/>
        </w:rPr>
        <w:t xml:space="preserve">J Am Stat Assoc. </w:t>
      </w:r>
      <w:r w:rsidRPr="005D0E4E">
        <w:t>1999;94:1053-1062.</w:t>
      </w:r>
    </w:p>
    <w:p w14:paraId="50A9C6D3" w14:textId="77777777" w:rsidR="00705E59" w:rsidRPr="005D0E4E" w:rsidRDefault="00705E59" w:rsidP="00705E59">
      <w:pPr>
        <w:pStyle w:val="EndNoteBibliography"/>
        <w:spacing w:after="0"/>
        <w:ind w:left="720" w:hanging="720"/>
      </w:pPr>
      <w:r w:rsidRPr="005D0E4E">
        <w:t>6.</w:t>
      </w:r>
      <w:r w:rsidRPr="005D0E4E">
        <w:tab/>
        <w:t xml:space="preserve">Stuart EA. Matching methods for causal inference: A review and a look forward. </w:t>
      </w:r>
      <w:r w:rsidRPr="005D0E4E">
        <w:rPr>
          <w:i/>
        </w:rPr>
        <w:t xml:space="preserve">Stat Sci. </w:t>
      </w:r>
      <w:r w:rsidRPr="005D0E4E">
        <w:t>2010;25(1):1-21.</w:t>
      </w:r>
    </w:p>
    <w:p w14:paraId="1C3D781A" w14:textId="77777777" w:rsidR="00705E59" w:rsidRPr="005D0E4E" w:rsidRDefault="00705E59" w:rsidP="00705E59">
      <w:pPr>
        <w:pStyle w:val="EndNoteBibliography"/>
        <w:spacing w:after="0"/>
        <w:ind w:left="720" w:hanging="720"/>
      </w:pPr>
      <w:r w:rsidRPr="005D0E4E">
        <w:t>7.</w:t>
      </w:r>
      <w:r w:rsidRPr="005D0E4E">
        <w:tab/>
        <w:t xml:space="preserve">DiPrete TA, Gangl M. 7. Assessing Bias in the Estimation of Causal Effects: Rosenbaum Bounds on Matching Estimators and Instrumental Variables Estimation with Imperfect Instruments. </w:t>
      </w:r>
      <w:r w:rsidRPr="005D0E4E">
        <w:rPr>
          <w:i/>
        </w:rPr>
        <w:t xml:space="preserve">Sociol Methodol. </w:t>
      </w:r>
      <w:r w:rsidRPr="005D0E4E">
        <w:t>2004;34:271-310.</w:t>
      </w:r>
    </w:p>
    <w:p w14:paraId="7D35430D" w14:textId="77777777" w:rsidR="00705E59" w:rsidRPr="005D0E4E" w:rsidRDefault="00705E59" w:rsidP="00705E59">
      <w:pPr>
        <w:pStyle w:val="EndNoteBibliography"/>
        <w:ind w:left="720" w:hanging="720"/>
      </w:pPr>
      <w:r w:rsidRPr="005D0E4E">
        <w:t>8.</w:t>
      </w:r>
      <w:r w:rsidRPr="005D0E4E">
        <w:tab/>
        <w:t xml:space="preserve">Becker SO, Caliendo M. Sensitivity analysis for average treatment effects. </w:t>
      </w:r>
      <w:r w:rsidRPr="005D0E4E">
        <w:rPr>
          <w:i/>
        </w:rPr>
        <w:t xml:space="preserve">Stata J. </w:t>
      </w:r>
      <w:r w:rsidRPr="005D0E4E">
        <w:t>2007;7:71-83.</w:t>
      </w:r>
    </w:p>
    <w:p w14:paraId="135DBA0C" w14:textId="31A46708" w:rsidR="00DA23E4" w:rsidRPr="00275395" w:rsidRDefault="00705E59" w:rsidP="00D351E4">
      <w:pPr>
        <w:spacing w:after="0" w:line="360" w:lineRule="auto"/>
        <w:rPr>
          <w:lang w:val="en-US"/>
        </w:rPr>
      </w:pPr>
      <w:r>
        <w:rPr>
          <w:lang w:val="en-US"/>
        </w:rPr>
        <w:fldChar w:fldCharType="end"/>
      </w:r>
      <w:bookmarkEnd w:id="0"/>
    </w:p>
    <w:sectPr w:rsidR="00DA23E4" w:rsidRPr="00275395" w:rsidSect="00D351E4">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2070"/>
        </w:tabs>
        <w:ind w:left="207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F2F30AB"/>
    <w:multiLevelType w:val="multilevel"/>
    <w:tmpl w:val="B032E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274DB5"/>
    <w:multiLevelType w:val="multilevel"/>
    <w:tmpl w:val="B04E26CC"/>
    <w:lvl w:ilvl="0">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6B97BC0"/>
    <w:multiLevelType w:val="multilevel"/>
    <w:tmpl w:val="A0F6979E"/>
    <w:lvl w:ilvl="0">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CCD0F32"/>
    <w:multiLevelType w:val="multilevel"/>
    <w:tmpl w:val="34AE431C"/>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DE74026"/>
    <w:multiLevelType w:val="multilevel"/>
    <w:tmpl w:val="83086B8E"/>
    <w:lvl w:ilvl="0">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4C070AD"/>
    <w:multiLevelType w:val="multilevel"/>
    <w:tmpl w:val="E79CD16A"/>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1016861"/>
    <w:multiLevelType w:val="multilevel"/>
    <w:tmpl w:val="17C2DA04"/>
    <w:lvl w:ilvl="0">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55A84CB7"/>
    <w:multiLevelType w:val="multilevel"/>
    <w:tmpl w:val="83782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EFF2CD4"/>
    <w:multiLevelType w:val="multilevel"/>
    <w:tmpl w:val="E17AB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0C3622"/>
    <w:multiLevelType w:val="multilevel"/>
    <w:tmpl w:val="D49282DA"/>
    <w:lvl w:ilvl="0">
      <w:start w:val="1"/>
      <w:numFmt w:val="decimal"/>
      <w:lvlText w:val="%1.0"/>
      <w:lvlJc w:val="left"/>
      <w:pPr>
        <w:ind w:left="370" w:hanging="370"/>
      </w:pPr>
      <w:rPr>
        <w:rFonts w:hint="default"/>
      </w:rPr>
    </w:lvl>
    <w:lvl w:ilvl="1">
      <w:start w:val="1"/>
      <w:numFmt w:val="decimal"/>
      <w:lvlText w:val="%1.%2"/>
      <w:lvlJc w:val="left"/>
      <w:pPr>
        <w:ind w:left="1090" w:hanging="3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709B2B0C"/>
    <w:multiLevelType w:val="multilevel"/>
    <w:tmpl w:val="54326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BE475B"/>
    <w:multiLevelType w:val="multilevel"/>
    <w:tmpl w:val="54022C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660577512">
    <w:abstractNumId w:val="8"/>
  </w:num>
  <w:num w:numId="2" w16cid:durableId="2072187911">
    <w:abstractNumId w:val="6"/>
  </w:num>
  <w:num w:numId="3" w16cid:durableId="424767300">
    <w:abstractNumId w:val="5"/>
  </w:num>
  <w:num w:numId="4" w16cid:durableId="1563323838">
    <w:abstractNumId w:val="4"/>
  </w:num>
  <w:num w:numId="5" w16cid:durableId="986278603">
    <w:abstractNumId w:val="7"/>
  </w:num>
  <w:num w:numId="6" w16cid:durableId="1285967222">
    <w:abstractNumId w:val="3"/>
  </w:num>
  <w:num w:numId="7" w16cid:durableId="62028551">
    <w:abstractNumId w:val="2"/>
  </w:num>
  <w:num w:numId="8" w16cid:durableId="1733386946">
    <w:abstractNumId w:val="1"/>
  </w:num>
  <w:num w:numId="9" w16cid:durableId="1011492886">
    <w:abstractNumId w:val="0"/>
  </w:num>
  <w:num w:numId="10" w16cid:durableId="241178743">
    <w:abstractNumId w:val="16"/>
  </w:num>
  <w:num w:numId="11" w16cid:durableId="2075622239">
    <w:abstractNumId w:val="20"/>
  </w:num>
  <w:num w:numId="12" w16cid:durableId="1002317494">
    <w:abstractNumId w:val="19"/>
  </w:num>
  <w:num w:numId="13" w16cid:durableId="1723820292">
    <w:abstractNumId w:val="9"/>
  </w:num>
  <w:num w:numId="14" w16cid:durableId="892430584">
    <w:abstractNumId w:val="17"/>
  </w:num>
  <w:num w:numId="15" w16cid:durableId="1067873127">
    <w:abstractNumId w:val="15"/>
  </w:num>
  <w:num w:numId="16" w16cid:durableId="743798863">
    <w:abstractNumId w:val="14"/>
  </w:num>
  <w:num w:numId="17" w16cid:durableId="1453597006">
    <w:abstractNumId w:val="13"/>
  </w:num>
  <w:num w:numId="18" w16cid:durableId="672799266">
    <w:abstractNumId w:val="18"/>
  </w:num>
  <w:num w:numId="19" w16cid:durableId="1368603133">
    <w:abstractNumId w:val="10"/>
  </w:num>
  <w:num w:numId="20" w16cid:durableId="1957373863">
    <w:abstractNumId w:val="12"/>
  </w:num>
  <w:num w:numId="21" w16cid:durableId="46717000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0&lt;/ScanUnformatted&gt;&lt;ScanChanges&gt;0&lt;/ScanChanges&gt;&lt;Suspended&gt;0&lt;/Suspended&gt;&lt;/ENInstantFormat&gt;"/>
    <w:docVar w:name="EN.Layout" w:val="&lt;ENLayout&gt;&lt;Style&gt;JAMA&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fdw0ff52wv95e00tmpaap6a2sss5e50tr0&quot;&gt;CHESS II activity&lt;record-ids&gt;&lt;item&gt;15&lt;/item&gt;&lt;item&gt;16&lt;/item&gt;&lt;item&gt;36&lt;/item&gt;&lt;/record-ids&gt;&lt;/item&gt;&lt;/Libraries&gt;"/>
  </w:docVars>
  <w:rsids>
    <w:rsidRoot w:val="00B47730"/>
    <w:rsid w:val="00006BFE"/>
    <w:rsid w:val="00010EDC"/>
    <w:rsid w:val="00011511"/>
    <w:rsid w:val="0001642B"/>
    <w:rsid w:val="000172F2"/>
    <w:rsid w:val="00020CC4"/>
    <w:rsid w:val="00027B46"/>
    <w:rsid w:val="000323D0"/>
    <w:rsid w:val="00034616"/>
    <w:rsid w:val="00034A13"/>
    <w:rsid w:val="0005023D"/>
    <w:rsid w:val="00053A53"/>
    <w:rsid w:val="00054C0D"/>
    <w:rsid w:val="00055B37"/>
    <w:rsid w:val="0005610B"/>
    <w:rsid w:val="0006063C"/>
    <w:rsid w:val="000609D7"/>
    <w:rsid w:val="000672A8"/>
    <w:rsid w:val="000778E9"/>
    <w:rsid w:val="00093E1A"/>
    <w:rsid w:val="0009489C"/>
    <w:rsid w:val="000A2036"/>
    <w:rsid w:val="000A6CD3"/>
    <w:rsid w:val="000B026B"/>
    <w:rsid w:val="000C080D"/>
    <w:rsid w:val="000F30C9"/>
    <w:rsid w:val="000F4A12"/>
    <w:rsid w:val="000F5B06"/>
    <w:rsid w:val="0010551C"/>
    <w:rsid w:val="0015074B"/>
    <w:rsid w:val="001550B5"/>
    <w:rsid w:val="00157D55"/>
    <w:rsid w:val="00164654"/>
    <w:rsid w:val="00173AEB"/>
    <w:rsid w:val="00173CA1"/>
    <w:rsid w:val="001825CB"/>
    <w:rsid w:val="001928FE"/>
    <w:rsid w:val="00194025"/>
    <w:rsid w:val="00196B22"/>
    <w:rsid w:val="0019790A"/>
    <w:rsid w:val="001B0C50"/>
    <w:rsid w:val="001C09FD"/>
    <w:rsid w:val="001C15E1"/>
    <w:rsid w:val="001D41AB"/>
    <w:rsid w:val="001D625D"/>
    <w:rsid w:val="001E34AE"/>
    <w:rsid w:val="001F3B22"/>
    <w:rsid w:val="002032D3"/>
    <w:rsid w:val="00214ACC"/>
    <w:rsid w:val="00221A38"/>
    <w:rsid w:val="00226115"/>
    <w:rsid w:val="002312B9"/>
    <w:rsid w:val="002436A2"/>
    <w:rsid w:val="00251197"/>
    <w:rsid w:val="00260675"/>
    <w:rsid w:val="00265E74"/>
    <w:rsid w:val="00275395"/>
    <w:rsid w:val="00284215"/>
    <w:rsid w:val="0028441E"/>
    <w:rsid w:val="0028589B"/>
    <w:rsid w:val="002904EE"/>
    <w:rsid w:val="0029639D"/>
    <w:rsid w:val="002A196F"/>
    <w:rsid w:val="002A1BCD"/>
    <w:rsid w:val="002A42BF"/>
    <w:rsid w:val="002B29EF"/>
    <w:rsid w:val="002B7812"/>
    <w:rsid w:val="002C1A52"/>
    <w:rsid w:val="002C6D00"/>
    <w:rsid w:val="002D316D"/>
    <w:rsid w:val="002D7F6B"/>
    <w:rsid w:val="002E079F"/>
    <w:rsid w:val="002E41F8"/>
    <w:rsid w:val="002F107E"/>
    <w:rsid w:val="00314753"/>
    <w:rsid w:val="00315D90"/>
    <w:rsid w:val="003171E3"/>
    <w:rsid w:val="003205A7"/>
    <w:rsid w:val="00326F90"/>
    <w:rsid w:val="003323FC"/>
    <w:rsid w:val="00332FC6"/>
    <w:rsid w:val="00333908"/>
    <w:rsid w:val="003544B3"/>
    <w:rsid w:val="003555C9"/>
    <w:rsid w:val="00361F9E"/>
    <w:rsid w:val="003645AE"/>
    <w:rsid w:val="00366D58"/>
    <w:rsid w:val="003947F9"/>
    <w:rsid w:val="003973F5"/>
    <w:rsid w:val="003A2544"/>
    <w:rsid w:val="003A2B03"/>
    <w:rsid w:val="003D17DF"/>
    <w:rsid w:val="003D3CCE"/>
    <w:rsid w:val="003E31D1"/>
    <w:rsid w:val="004037E5"/>
    <w:rsid w:val="0040752D"/>
    <w:rsid w:val="0041785E"/>
    <w:rsid w:val="0043546E"/>
    <w:rsid w:val="004613AF"/>
    <w:rsid w:val="004729A6"/>
    <w:rsid w:val="00473F28"/>
    <w:rsid w:val="00484A29"/>
    <w:rsid w:val="004A48E9"/>
    <w:rsid w:val="004A718F"/>
    <w:rsid w:val="004B0F45"/>
    <w:rsid w:val="004B7A3F"/>
    <w:rsid w:val="004C011F"/>
    <w:rsid w:val="004C33C8"/>
    <w:rsid w:val="004D1002"/>
    <w:rsid w:val="004D6B35"/>
    <w:rsid w:val="004F3A76"/>
    <w:rsid w:val="00515372"/>
    <w:rsid w:val="00542EE1"/>
    <w:rsid w:val="00543327"/>
    <w:rsid w:val="0056760E"/>
    <w:rsid w:val="00574A39"/>
    <w:rsid w:val="00576901"/>
    <w:rsid w:val="005B1AC4"/>
    <w:rsid w:val="005C43A8"/>
    <w:rsid w:val="005D0E4E"/>
    <w:rsid w:val="00622FD0"/>
    <w:rsid w:val="00641D32"/>
    <w:rsid w:val="00643DD5"/>
    <w:rsid w:val="00643FF4"/>
    <w:rsid w:val="00664857"/>
    <w:rsid w:val="00695251"/>
    <w:rsid w:val="00697B36"/>
    <w:rsid w:val="006A6CCB"/>
    <w:rsid w:val="006D4EC6"/>
    <w:rsid w:val="006E139A"/>
    <w:rsid w:val="006F0EAD"/>
    <w:rsid w:val="00705E59"/>
    <w:rsid w:val="00711D27"/>
    <w:rsid w:val="007267F6"/>
    <w:rsid w:val="00744D22"/>
    <w:rsid w:val="00777986"/>
    <w:rsid w:val="0078719C"/>
    <w:rsid w:val="007C46A2"/>
    <w:rsid w:val="007C6C7E"/>
    <w:rsid w:val="007E4676"/>
    <w:rsid w:val="007F0CA6"/>
    <w:rsid w:val="007F3223"/>
    <w:rsid w:val="007F46BB"/>
    <w:rsid w:val="008001CD"/>
    <w:rsid w:val="008020D5"/>
    <w:rsid w:val="00823610"/>
    <w:rsid w:val="0082468A"/>
    <w:rsid w:val="00840727"/>
    <w:rsid w:val="00843203"/>
    <w:rsid w:val="008466C0"/>
    <w:rsid w:val="00846C49"/>
    <w:rsid w:val="00851F37"/>
    <w:rsid w:val="00852380"/>
    <w:rsid w:val="00855AC0"/>
    <w:rsid w:val="0085704D"/>
    <w:rsid w:val="0086696F"/>
    <w:rsid w:val="008671C0"/>
    <w:rsid w:val="008732EA"/>
    <w:rsid w:val="008858C6"/>
    <w:rsid w:val="00890D65"/>
    <w:rsid w:val="008A2BD8"/>
    <w:rsid w:val="008A50A2"/>
    <w:rsid w:val="008A750C"/>
    <w:rsid w:val="008B21A4"/>
    <w:rsid w:val="008C085A"/>
    <w:rsid w:val="008D58EE"/>
    <w:rsid w:val="008F7ABC"/>
    <w:rsid w:val="00903BE3"/>
    <w:rsid w:val="00916D3D"/>
    <w:rsid w:val="009222CE"/>
    <w:rsid w:val="00925311"/>
    <w:rsid w:val="00926A80"/>
    <w:rsid w:val="00931A00"/>
    <w:rsid w:val="0093403D"/>
    <w:rsid w:val="00944902"/>
    <w:rsid w:val="00954CB3"/>
    <w:rsid w:val="00964A3D"/>
    <w:rsid w:val="0096748C"/>
    <w:rsid w:val="009908AA"/>
    <w:rsid w:val="00995450"/>
    <w:rsid w:val="009A17D4"/>
    <w:rsid w:val="009B235F"/>
    <w:rsid w:val="009B2951"/>
    <w:rsid w:val="009B709F"/>
    <w:rsid w:val="009D0C38"/>
    <w:rsid w:val="009D4D1C"/>
    <w:rsid w:val="009D5552"/>
    <w:rsid w:val="009E0532"/>
    <w:rsid w:val="009E7CE1"/>
    <w:rsid w:val="00A014B3"/>
    <w:rsid w:val="00A048CE"/>
    <w:rsid w:val="00A07C19"/>
    <w:rsid w:val="00A15838"/>
    <w:rsid w:val="00A52E6A"/>
    <w:rsid w:val="00A54665"/>
    <w:rsid w:val="00A54C64"/>
    <w:rsid w:val="00A648A8"/>
    <w:rsid w:val="00A71CC3"/>
    <w:rsid w:val="00A7463A"/>
    <w:rsid w:val="00A81EB0"/>
    <w:rsid w:val="00A95FC9"/>
    <w:rsid w:val="00AA1D8D"/>
    <w:rsid w:val="00AD3E0B"/>
    <w:rsid w:val="00AD61A1"/>
    <w:rsid w:val="00AD70B5"/>
    <w:rsid w:val="00AD7AA7"/>
    <w:rsid w:val="00AE53B8"/>
    <w:rsid w:val="00AE5980"/>
    <w:rsid w:val="00B104A1"/>
    <w:rsid w:val="00B268B1"/>
    <w:rsid w:val="00B33D8A"/>
    <w:rsid w:val="00B47730"/>
    <w:rsid w:val="00B51F21"/>
    <w:rsid w:val="00B529AC"/>
    <w:rsid w:val="00B66484"/>
    <w:rsid w:val="00B76889"/>
    <w:rsid w:val="00B8626E"/>
    <w:rsid w:val="00B86A33"/>
    <w:rsid w:val="00B91F2B"/>
    <w:rsid w:val="00B9395F"/>
    <w:rsid w:val="00B94666"/>
    <w:rsid w:val="00BB66C5"/>
    <w:rsid w:val="00BC7352"/>
    <w:rsid w:val="00BD0A29"/>
    <w:rsid w:val="00BD3713"/>
    <w:rsid w:val="00BF58BC"/>
    <w:rsid w:val="00C020E1"/>
    <w:rsid w:val="00C12179"/>
    <w:rsid w:val="00C14927"/>
    <w:rsid w:val="00C160F6"/>
    <w:rsid w:val="00C35D52"/>
    <w:rsid w:val="00C45E56"/>
    <w:rsid w:val="00C52196"/>
    <w:rsid w:val="00C6558C"/>
    <w:rsid w:val="00C6762F"/>
    <w:rsid w:val="00C94DB6"/>
    <w:rsid w:val="00CA7623"/>
    <w:rsid w:val="00CB0664"/>
    <w:rsid w:val="00CB13BF"/>
    <w:rsid w:val="00CB24FD"/>
    <w:rsid w:val="00CC00D2"/>
    <w:rsid w:val="00CC1B9F"/>
    <w:rsid w:val="00CC2E19"/>
    <w:rsid w:val="00CD501C"/>
    <w:rsid w:val="00CD6ABC"/>
    <w:rsid w:val="00CF4812"/>
    <w:rsid w:val="00D2797A"/>
    <w:rsid w:val="00D351E4"/>
    <w:rsid w:val="00D55936"/>
    <w:rsid w:val="00D679C6"/>
    <w:rsid w:val="00D704D0"/>
    <w:rsid w:val="00D718AC"/>
    <w:rsid w:val="00D915F8"/>
    <w:rsid w:val="00D94B78"/>
    <w:rsid w:val="00D978CB"/>
    <w:rsid w:val="00DA23E4"/>
    <w:rsid w:val="00DB04B4"/>
    <w:rsid w:val="00DB3B47"/>
    <w:rsid w:val="00DD5EE2"/>
    <w:rsid w:val="00DD64FE"/>
    <w:rsid w:val="00DF1617"/>
    <w:rsid w:val="00DF6F5C"/>
    <w:rsid w:val="00E02E76"/>
    <w:rsid w:val="00E11CF3"/>
    <w:rsid w:val="00E141BA"/>
    <w:rsid w:val="00E26FF4"/>
    <w:rsid w:val="00E333ED"/>
    <w:rsid w:val="00E40634"/>
    <w:rsid w:val="00E4431E"/>
    <w:rsid w:val="00E455CB"/>
    <w:rsid w:val="00E467A1"/>
    <w:rsid w:val="00E50701"/>
    <w:rsid w:val="00E558B6"/>
    <w:rsid w:val="00E61363"/>
    <w:rsid w:val="00E73089"/>
    <w:rsid w:val="00E772E7"/>
    <w:rsid w:val="00E871B9"/>
    <w:rsid w:val="00E959CF"/>
    <w:rsid w:val="00EB7CA1"/>
    <w:rsid w:val="00EC4D98"/>
    <w:rsid w:val="00ED1044"/>
    <w:rsid w:val="00ED3ABE"/>
    <w:rsid w:val="00EE0090"/>
    <w:rsid w:val="00EF650B"/>
    <w:rsid w:val="00F017B8"/>
    <w:rsid w:val="00F0289F"/>
    <w:rsid w:val="00F12B55"/>
    <w:rsid w:val="00F20B73"/>
    <w:rsid w:val="00F32307"/>
    <w:rsid w:val="00F338BC"/>
    <w:rsid w:val="00F56E6B"/>
    <w:rsid w:val="00F71266"/>
    <w:rsid w:val="00F822DC"/>
    <w:rsid w:val="00FB1726"/>
    <w:rsid w:val="00FB2799"/>
    <w:rsid w:val="00FB2AD2"/>
    <w:rsid w:val="00FB2EE4"/>
    <w:rsid w:val="00FB4463"/>
    <w:rsid w:val="00FC693F"/>
    <w:rsid w:val="00FD0C0F"/>
    <w:rsid w:val="00FF1359"/>
    <w:rsid w:val="00FF2A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30"/>
  <w15:docId w15:val="{1E31593D-CADB-4F79-9C4F-80CDA69D5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160" w:line="259" w:lineRule="auto"/>
    </w:pPr>
    <w:rPr>
      <w:rFonts w:ascii="Arial" w:hAnsi="Arial"/>
      <w:sz w:val="22"/>
    </w:rPr>
  </w:style>
  <w:style w:type="paragraph" w:styleId="Heading1">
    <w:name w:val="heading 1"/>
    <w:basedOn w:val="Normal"/>
    <w:qFormat/>
    <w:pPr>
      <w:outlineLvl w:val="0"/>
    </w:pPr>
  </w:style>
  <w:style w:type="paragraph" w:styleId="Heading2">
    <w:name w:val="heading 2"/>
    <w:basedOn w:val="Normal"/>
    <w:qFormat/>
    <w:pPr>
      <w:outlineLvl w:val="1"/>
    </w:pPr>
  </w:style>
  <w:style w:type="paragraph" w:styleId="Heading3">
    <w:name w:val="heading 3"/>
    <w:basedOn w:val="Normal"/>
    <w:qFormat/>
    <w:pPr>
      <w:outlineLvl w:val="2"/>
    </w:pPr>
  </w:style>
  <w:style w:type="paragraph" w:styleId="Heading4">
    <w:name w:val="heading 4"/>
    <w:basedOn w:val="Normal"/>
    <w:qFormat/>
    <w:pPr>
      <w:outlineLvl w:val="3"/>
    </w:pPr>
  </w:style>
  <w:style w:type="paragraph" w:styleId="Heading5">
    <w:name w:val="heading 5"/>
    <w:basedOn w:val="Normal"/>
    <w:qFormat/>
    <w:pPr>
      <w:outlineLvl w:val="4"/>
    </w:pPr>
  </w:style>
  <w:style w:type="paragraph" w:styleId="Heading6">
    <w:name w:val="heading 6"/>
    <w:basedOn w:val="Normal"/>
    <w:qFormat/>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style w:type="paragraph" w:customStyle="1" w:styleId="abstract">
    <w:name w:val="abstract"/>
    <w:basedOn w:val="Normal"/>
    <w:qFormat/>
  </w:style>
  <w:style w:type="paragraph" w:customStyle="1" w:styleId="EquationCaption">
    <w:name w:val="Equation Caption"/>
    <w:basedOn w:val="Normal"/>
    <w:qFormat/>
  </w:style>
  <w:style w:type="paragraph" w:customStyle="1" w:styleId="FigureCaption">
    <w:name w:val="Figure Caption"/>
    <w:basedOn w:val="Normal"/>
    <w:qFormat/>
  </w:style>
  <w:style w:type="paragraph" w:customStyle="1" w:styleId="FiguresSection">
    <w:name w:val="Figures Section"/>
    <w:basedOn w:val="Heading1"/>
    <w:qFormat/>
  </w:style>
  <w:style w:type="paragraph" w:styleId="Title">
    <w:name w:val="Title"/>
    <w:basedOn w:val="Normal"/>
    <w:link w:val="TitleChar"/>
    <w:qFormat/>
    <w:pPr>
      <w:spacing w:after="0" w:line="240" w:lineRule="auto"/>
      <w:contextualSpacing/>
    </w:pPr>
    <w:rPr>
      <w:rFonts w:ascii="Calibri Light" w:hAnsi="Calibri Light"/>
      <w:sz w:val="56"/>
    </w:rPr>
  </w:style>
  <w:style w:type="table" w:customStyle="1" w:styleId="Table">
    <w:name w:val="Table"/>
    <w:qFormat/>
    <w:tblPr>
      <w:tblCellMar>
        <w:top w:w="0" w:type="dxa"/>
        <w:left w:w="0" w:type="dxa"/>
        <w:bottom w:w="0" w:type="dxa"/>
        <w:right w:w="0" w:type="dxa"/>
      </w:tblCellMar>
    </w:tblPr>
  </w:style>
  <w:style w:type="paragraph" w:customStyle="1" w:styleId="TableCaption">
    <w:name w:val="Table Caption"/>
    <w:basedOn w:val="Normal"/>
    <w:qFormat/>
  </w:style>
  <w:style w:type="character" w:customStyle="1" w:styleId="TextEndnote">
    <w:name w:val="Text Endnote"/>
    <w:qFormat/>
    <w:rPr>
      <w:vertAlign w:val="superscript"/>
    </w:rPr>
  </w:style>
  <w:style w:type="character" w:customStyle="1" w:styleId="TextFootnote">
    <w:name w:val="Text Footnote"/>
    <w:qFormat/>
    <w:rPr>
      <w:vertAlign w:val="superscript"/>
    </w:rPr>
  </w:style>
  <w:style w:type="paragraph" w:styleId="Subtitle">
    <w:name w:val="Subtitle"/>
    <w:basedOn w:val="Normal"/>
    <w:qFormat/>
    <w:rPr>
      <w:color w:val="5A5A5A"/>
    </w:rPr>
  </w:style>
  <w:style w:type="paragraph" w:customStyle="1" w:styleId="TableParagraph">
    <w:name w:val="Table Paragraph"/>
    <w:basedOn w:val="Normal"/>
    <w:qFormat/>
    <w:pPr>
      <w:widowControl w:val="0"/>
      <w:spacing w:after="0" w:line="240" w:lineRule="auto"/>
      <w:ind w:left="107"/>
    </w:pPr>
  </w:style>
  <w:style w:type="paragraph" w:styleId="CommentText">
    <w:name w:val="annotation text"/>
    <w:basedOn w:val="Normal"/>
    <w:link w:val="CommentTextChar"/>
    <w:uiPriority w:val="99"/>
    <w:qFormat/>
    <w:pPr>
      <w:spacing w:line="240" w:lineRule="auto"/>
    </w:pPr>
    <w:rPr>
      <w:sz w:val="20"/>
    </w:rPr>
  </w:style>
  <w:style w:type="paragraph" w:styleId="Caption">
    <w:name w:val="caption"/>
    <w:basedOn w:val="Normal"/>
    <w:qFormat/>
    <w:pPr>
      <w:spacing w:after="200" w:line="240" w:lineRule="auto"/>
    </w:pPr>
    <w:rPr>
      <w:i/>
      <w:color w:val="44546A"/>
      <w:sz w:val="18"/>
    </w:rPr>
  </w:style>
  <w:style w:type="paragraph" w:styleId="ListParagraph">
    <w:name w:val="List Paragraph"/>
    <w:basedOn w:val="Normal"/>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010EDC"/>
    <w:rPr>
      <w:b/>
      <w:bCs/>
    </w:rPr>
  </w:style>
  <w:style w:type="character" w:customStyle="1" w:styleId="CommentTextChar">
    <w:name w:val="Comment Text Char"/>
    <w:basedOn w:val="DefaultParagraphFont"/>
    <w:link w:val="CommentText"/>
    <w:uiPriority w:val="99"/>
    <w:rsid w:val="00010EDC"/>
    <w:rPr>
      <w:rFonts w:ascii="Calibri" w:hAnsi="Calibri"/>
    </w:rPr>
  </w:style>
  <w:style w:type="character" w:customStyle="1" w:styleId="CommentSubjectChar">
    <w:name w:val="Comment Subject Char"/>
    <w:basedOn w:val="CommentTextChar"/>
    <w:link w:val="CommentSubject"/>
    <w:uiPriority w:val="99"/>
    <w:semiHidden/>
    <w:rsid w:val="00010EDC"/>
    <w:rPr>
      <w:rFonts w:ascii="Calibri" w:hAnsi="Calibri"/>
      <w:b/>
      <w:bCs/>
    </w:rPr>
  </w:style>
  <w:style w:type="paragraph" w:styleId="Revision">
    <w:name w:val="Revision"/>
    <w:hidden/>
    <w:uiPriority w:val="99"/>
    <w:semiHidden/>
    <w:rsid w:val="00641D32"/>
    <w:rPr>
      <w:rFonts w:ascii="Calibri" w:hAnsi="Calibri"/>
      <w:sz w:val="22"/>
    </w:rPr>
  </w:style>
  <w:style w:type="table" w:customStyle="1" w:styleId="TableGrid1">
    <w:name w:val="Table Grid1"/>
    <w:basedOn w:val="TableNormal"/>
    <w:next w:val="TableGrid"/>
    <w:uiPriority w:val="39"/>
    <w:rsid w:val="0099545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5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FB1726"/>
    <w:pPr>
      <w:spacing w:after="120" w:line="240" w:lineRule="auto"/>
    </w:pPr>
    <w:rPr>
      <w:rFonts w:eastAsiaTheme="minorHAnsi" w:cs="Arial"/>
      <w:noProof/>
      <w:kern w:val="2"/>
      <w:szCs w:val="22"/>
      <w:lang w:val="en-US" w:eastAsia="en-US"/>
      <w14:ligatures w14:val="standardContextual"/>
    </w:rPr>
  </w:style>
  <w:style w:type="character" w:customStyle="1" w:styleId="EndNoteBibliographyChar">
    <w:name w:val="EndNote Bibliography Char"/>
    <w:basedOn w:val="DefaultParagraphFont"/>
    <w:link w:val="EndNoteBibliography"/>
    <w:rsid w:val="00FB1726"/>
    <w:rPr>
      <w:rFonts w:ascii="Arial" w:eastAsiaTheme="minorHAnsi" w:hAnsi="Arial" w:cs="Arial"/>
      <w:noProof/>
      <w:kern w:val="2"/>
      <w:sz w:val="22"/>
      <w:szCs w:val="22"/>
      <w:lang w:val="en-US" w:eastAsia="en-US"/>
      <w14:ligatures w14:val="standardContextual"/>
    </w:rPr>
  </w:style>
  <w:style w:type="paragraph" w:customStyle="1" w:styleId="EndNoteBibliographyTitle">
    <w:name w:val="EndNote Bibliography Title"/>
    <w:basedOn w:val="Normal"/>
    <w:link w:val="EndNoteBibliographyTitleChar"/>
    <w:rsid w:val="003555C9"/>
    <w:pPr>
      <w:spacing w:after="0"/>
      <w:jc w:val="center"/>
    </w:pPr>
    <w:rPr>
      <w:rFonts w:cs="Arial"/>
      <w:noProof/>
    </w:rPr>
  </w:style>
  <w:style w:type="character" w:customStyle="1" w:styleId="TitleChar">
    <w:name w:val="Title Char"/>
    <w:basedOn w:val="DefaultParagraphFont"/>
    <w:link w:val="Title"/>
    <w:rsid w:val="003555C9"/>
    <w:rPr>
      <w:rFonts w:ascii="Calibri Light" w:hAnsi="Calibri Light"/>
      <w:sz w:val="56"/>
    </w:rPr>
  </w:style>
  <w:style w:type="character" w:customStyle="1" w:styleId="EndNoteBibliographyTitleChar">
    <w:name w:val="EndNote Bibliography Title Char"/>
    <w:basedOn w:val="TitleChar"/>
    <w:link w:val="EndNoteBibliographyTitle"/>
    <w:rsid w:val="003555C9"/>
    <w:rPr>
      <w:rFonts w:ascii="Arial" w:hAnsi="Arial" w:cs="Arial"/>
      <w:noProo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74047e-4355-484a-8650-d1e8562b2a2a" xsi:nil="true"/>
    <lcf76f155ced4ddcb4097134ff3c332f xmlns="14eb86dc-2916-4067-8fb8-eecbe8038666">
      <Terms xmlns="http://schemas.microsoft.com/office/infopath/2007/PartnerControls"/>
    </lcf76f155ced4ddcb4097134ff3c332f>
    <Notes xmlns="14eb86dc-2916-4067-8fb8-eecbe803866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24D8FFBF14134CBA136CE66A29BB37" ma:contentTypeVersion="17" ma:contentTypeDescription="Create a new document." ma:contentTypeScope="" ma:versionID="dd0af5595b2977c538b02707b337742e">
  <xsd:schema xmlns:xsd="http://www.w3.org/2001/XMLSchema" xmlns:xs="http://www.w3.org/2001/XMLSchema" xmlns:p="http://schemas.microsoft.com/office/2006/metadata/properties" xmlns:ns2="14eb86dc-2916-4067-8fb8-eecbe8038666" xmlns:ns3="8574047e-4355-484a-8650-d1e8562b2a2a" targetNamespace="http://schemas.microsoft.com/office/2006/metadata/properties" ma:root="true" ma:fieldsID="debd61e325bff0024cd2d3aeb90c9ffd" ns2:_="" ns3:_="">
    <xsd:import namespace="14eb86dc-2916-4067-8fb8-eecbe8038666"/>
    <xsd:import namespace="8574047e-4355-484a-8650-d1e8562b2a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Not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b86dc-2916-4067-8fb8-eecbe80386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e8c867-016e-4e7e-ac72-082d690dc73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Notes" ma:index="23" nillable="true" ma:displayName="Notes" ma:description="Chart review acute events ms has been combined with Chart review (overall) ms. See folder for Chart review combined manuscript" ma:format="Dropdown" ma:internalName="Notes">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74047e-4355-484a-8650-d1e8562b2a2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62e2aa2-4a73-44d1-8442-803299cdb16f}" ma:internalName="TaxCatchAll" ma:showField="CatchAllData" ma:web="8574047e-4355-484a-8650-d1e8562b2a2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DEFAULT.xsl" StyleName="Unknown" Version="2006">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E2CBC6-3F49-4233-AD66-91A93F3020AC}">
  <ds:schemaRefs>
    <ds:schemaRef ds:uri="http://schemas.microsoft.com/office/2006/metadata/properties"/>
    <ds:schemaRef ds:uri="http://schemas.microsoft.com/office/infopath/2007/PartnerControls"/>
    <ds:schemaRef ds:uri="8574047e-4355-484a-8650-d1e8562b2a2a"/>
    <ds:schemaRef ds:uri="14eb86dc-2916-4067-8fb8-eecbe8038666"/>
  </ds:schemaRefs>
</ds:datastoreItem>
</file>

<file path=customXml/itemProps2.xml><?xml version="1.0" encoding="utf-8"?>
<ds:datastoreItem xmlns:ds="http://schemas.openxmlformats.org/officeDocument/2006/customXml" ds:itemID="{E599169A-1525-4A1A-857C-8ED1FF021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b86dc-2916-4067-8fb8-eecbe8038666"/>
    <ds:schemaRef ds:uri="8574047e-4355-484a-8650-d1e8562b2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59A135FE-E3E0-413D-977E-09FB0DAAEA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5</Pages>
  <Words>2031</Words>
  <Characters>11581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Dodoc Integration User</dc:creator>
  <cp:keywords/>
  <dc:description/>
  <cp:lastModifiedBy>Susan Tan</cp:lastModifiedBy>
  <cp:revision>21</cp:revision>
  <cp:lastPrinted>2025-05-22T05:20:00Z</cp:lastPrinted>
  <dcterms:created xsi:type="dcterms:W3CDTF">2025-05-21T04:36:00Z</dcterms:created>
  <dcterms:modified xsi:type="dcterms:W3CDTF">2025-05-22T05:31:00Z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0x0101000724D8FFBF14134CBA136CE66A29BB37</vt:lpwstr>
  </property>
</Properties>
</file>