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319CE26" w14:textId="4CDD91C0" w:rsidR="00AF78E5" w:rsidRDefault="00AF78E5" w:rsidP="0046206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31CE47E0"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="00964D33">
        <w:rPr>
          <w:rFonts w:ascii="Times New Roman" w:hAnsi="Times New Roman" w:cs="Times New Roman"/>
          <w:b/>
          <w:bCs/>
          <w:sz w:val="24"/>
          <w:szCs w:val="24"/>
        </w:rPr>
        <w:t>Material</w:t>
      </w:r>
    </w:p>
    <w:p w14:paraId="6CB975BB" w14:textId="77777777" w:rsidR="00964D33" w:rsidRDefault="00964D33" w:rsidP="00AF78E5">
      <w:pPr>
        <w:rPr>
          <w:rFonts w:ascii="Times New Roman" w:hAnsi="Times New Roman" w:cs="Times New Roman"/>
          <w:b/>
          <w:bCs/>
          <w:sz w:val="24"/>
          <w:szCs w:val="24"/>
          <w:lang w:eastAsia="zh-CN"/>
        </w:rPr>
      </w:pPr>
    </w:p>
    <w:p w14:paraId="000652F6" w14:textId="0A6BDDA3" w:rsidR="00AF78E5" w:rsidRDefault="000078B1" w:rsidP="008069C5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object w:dxaOrig="1311" w:dyaOrig="849" w14:anchorId="7698F99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5.35pt;height:42.4pt" o:ole="">
            <v:imagedata r:id="rId9" o:title=""/>
          </v:shape>
          <o:OLEObject Type="Embed" ProgID="Package" ShapeID="_x0000_i1025" DrawAspect="Icon" ObjectID="_1809489772" r:id="rId10"/>
        </w:object>
      </w:r>
      <w:r w:rsidR="007846D1">
        <w:rPr>
          <w:rFonts w:ascii="Times New Roman" w:hAnsi="Times New Roman" w:cs="Times New Roman"/>
          <w:b/>
          <w:bCs/>
          <w:sz w:val="24"/>
          <w:szCs w:val="24"/>
        </w:rPr>
        <w:object w:dxaOrig="1534" w:dyaOrig="991" w14:anchorId="3A7644BC">
          <v:shape id="_x0000_i1026" type="#_x0000_t75" style="width:76.45pt;height:49.5pt" o:ole="">
            <v:imagedata r:id="rId11" o:title=""/>
          </v:shape>
          <o:OLEObject Type="Embed" ProgID="Package" ShapeID="_x0000_i1026" DrawAspect="Icon" ObjectID="_1809489773" r:id="rId12"/>
        </w:object>
      </w:r>
      <w:r w:rsidR="007846D1">
        <w:rPr>
          <w:rFonts w:ascii="Times New Roman" w:hAnsi="Times New Roman" w:cs="Times New Roman"/>
          <w:b/>
          <w:bCs/>
          <w:sz w:val="24"/>
          <w:szCs w:val="24"/>
        </w:rPr>
        <w:object w:dxaOrig="1534" w:dyaOrig="991" w14:anchorId="124DA265">
          <v:shape id="_x0000_i1027" type="#_x0000_t75" style="width:76.45pt;height:49.5pt" o:ole="">
            <v:imagedata r:id="rId13" o:title=""/>
          </v:shape>
          <o:OLEObject Type="Embed" ProgID="Package" ShapeID="_x0000_i1027" DrawAspect="Icon" ObjectID="_1809489774" r:id="rId14"/>
        </w:object>
      </w:r>
    </w:p>
    <w:p w14:paraId="0DA961F7" w14:textId="79CEA1AF" w:rsidR="00AF78E5" w:rsidRPr="00BA2E8C" w:rsidRDefault="002E257B" w:rsidP="00BB58D8">
      <w:pPr>
        <w:spacing w:line="48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eastAsia="zh-CN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Video</w:t>
      </w:r>
      <w:r w:rsidR="00AF78E5" w:rsidRPr="00BA2E8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S</w:t>
      </w:r>
      <w:r w:rsidR="00AF78E5" w:rsidRPr="00BA2E8C">
        <w:rPr>
          <w:rFonts w:ascii="Times New Roman" w:hAnsi="Times New Roman" w:cs="Times New Roman" w:hint="eastAsia"/>
          <w:b/>
          <w:bCs/>
          <w:i/>
          <w:iCs/>
          <w:sz w:val="24"/>
          <w:szCs w:val="24"/>
          <w:lang w:eastAsia="zh-CN"/>
        </w:rPr>
        <w:t>1</w:t>
      </w:r>
      <w:r w:rsidR="00AF78E5" w:rsidRPr="00BA2E8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:  </w:t>
      </w:r>
      <w:r w:rsidR="00BB58D8" w:rsidRPr="00BA2E8C">
        <w:rPr>
          <w:rFonts w:ascii="Times New Roman" w:hAnsi="Times New Roman" w:cs="Times New Roman"/>
          <w:i/>
          <w:iCs/>
          <w:sz w:val="24"/>
          <w:szCs w:val="24"/>
          <w:lang w:eastAsia="zh-CN"/>
        </w:rPr>
        <w:t xml:space="preserve">Live imaging of iron oxide nanoparticle (IONP) uptake over 24 hours by </w:t>
      </w:r>
      <w:r>
        <w:rPr>
          <w:rFonts w:ascii="Times New Roman" w:hAnsi="Times New Roman" w:cs="Times New Roman"/>
          <w:i/>
          <w:iCs/>
          <w:sz w:val="24"/>
          <w:szCs w:val="24"/>
          <w:lang w:eastAsia="zh-CN"/>
        </w:rPr>
        <w:t>H295R</w:t>
      </w:r>
      <w:r w:rsidR="00BB58D8" w:rsidRPr="00BA2E8C">
        <w:rPr>
          <w:rFonts w:ascii="Times New Roman" w:hAnsi="Times New Roman" w:cs="Times New Roman"/>
          <w:i/>
          <w:iCs/>
          <w:sz w:val="24"/>
          <w:szCs w:val="24"/>
        </w:rPr>
        <w:t>.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Video</w:t>
      </w:r>
      <w:r w:rsidRPr="00BA2E8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S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2</w:t>
      </w:r>
      <w:r w:rsidRPr="00BA2E8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:  </w:t>
      </w:r>
      <w:r w:rsidRPr="00BA2E8C">
        <w:rPr>
          <w:rFonts w:ascii="Times New Roman" w:hAnsi="Times New Roman" w:cs="Times New Roman"/>
          <w:i/>
          <w:iCs/>
          <w:sz w:val="24"/>
          <w:szCs w:val="24"/>
          <w:lang w:eastAsia="zh-CN"/>
        </w:rPr>
        <w:t xml:space="preserve">Live imaging of iron oxide nanoparticle (IONP) uptake over 24 hours by </w:t>
      </w:r>
      <w:r>
        <w:rPr>
          <w:rFonts w:ascii="Times New Roman" w:hAnsi="Times New Roman" w:cs="Times New Roman"/>
          <w:i/>
          <w:iCs/>
          <w:sz w:val="24"/>
          <w:szCs w:val="24"/>
          <w:lang w:eastAsia="zh-CN"/>
        </w:rPr>
        <w:t xml:space="preserve">HAC15.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Video</w:t>
      </w:r>
      <w:r w:rsidRPr="00BA2E8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S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3</w:t>
      </w:r>
      <w:r w:rsidRPr="00BA2E8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:  </w:t>
      </w:r>
      <w:r w:rsidRPr="00BA2E8C">
        <w:rPr>
          <w:rFonts w:ascii="Times New Roman" w:hAnsi="Times New Roman" w:cs="Times New Roman"/>
          <w:i/>
          <w:iCs/>
          <w:sz w:val="24"/>
          <w:szCs w:val="24"/>
          <w:lang w:eastAsia="zh-CN"/>
        </w:rPr>
        <w:t xml:space="preserve">Live imaging of iron oxide nanoparticle (IONP) uptake over 24 hours by </w:t>
      </w:r>
      <w:r>
        <w:rPr>
          <w:rFonts w:ascii="Times New Roman" w:hAnsi="Times New Roman" w:cs="Times New Roman"/>
          <w:i/>
          <w:iCs/>
          <w:sz w:val="24"/>
          <w:szCs w:val="24"/>
          <w:lang w:eastAsia="zh-CN"/>
        </w:rPr>
        <w:t xml:space="preserve">MUC-. </w:t>
      </w:r>
      <w:r w:rsidR="00BB58D8" w:rsidRPr="00BA2E8C">
        <w:rPr>
          <w:rFonts w:ascii="Times New Roman" w:hAnsi="Times New Roman" w:cs="Times New Roman" w:hint="eastAsia"/>
          <w:i/>
          <w:iCs/>
          <w:sz w:val="24"/>
          <w:szCs w:val="24"/>
          <w:lang w:eastAsia="zh-CN"/>
        </w:rPr>
        <w:t>ACC cells (</w:t>
      </w:r>
      <w:r w:rsidR="00BB58D8" w:rsidRPr="00BA2E8C">
        <w:rPr>
          <w:rFonts w:ascii="Times New Roman" w:hAnsi="Times New Roman" w:cs="Times New Roman"/>
          <w:i/>
          <w:iCs/>
          <w:sz w:val="24"/>
          <w:szCs w:val="24"/>
        </w:rPr>
        <w:t>MUC1, H295R, HAC15</w:t>
      </w:r>
      <w:r w:rsidR="00BB58D8" w:rsidRPr="00BA2E8C">
        <w:rPr>
          <w:rFonts w:ascii="Times New Roman" w:hAnsi="Times New Roman" w:cs="Times New Roman" w:hint="eastAsia"/>
          <w:i/>
          <w:iCs/>
          <w:sz w:val="24"/>
          <w:szCs w:val="24"/>
          <w:lang w:eastAsia="zh-CN"/>
        </w:rPr>
        <w:t xml:space="preserve">) </w:t>
      </w:r>
      <w:r w:rsidR="00BB58D8" w:rsidRPr="00BA2E8C">
        <w:rPr>
          <w:rFonts w:ascii="Times New Roman" w:hAnsi="Times New Roman" w:cs="Times New Roman"/>
          <w:i/>
          <w:iCs/>
          <w:sz w:val="24"/>
          <w:szCs w:val="24"/>
        </w:rPr>
        <w:t>were incubated with 10 µg/ml of IONP for 24 hours, and uptake was assessed using Confocal Microscopy. An image was taken every 15 minutes over 24 hours.</w:t>
      </w:r>
      <w:r w:rsidR="00BB58D8" w:rsidRPr="00BA2E8C">
        <w:rPr>
          <w:rFonts w:ascii="Times New Roman" w:hAnsi="Times New Roman" w:cs="Times New Roman" w:hint="eastAsia"/>
          <w:i/>
          <w:iCs/>
          <w:sz w:val="24"/>
          <w:szCs w:val="24"/>
          <w:lang w:eastAsia="zh-CN"/>
        </w:rPr>
        <w:t xml:space="preserve"> </w:t>
      </w:r>
      <w:r w:rsidR="00BB58D8" w:rsidRPr="00BA2E8C">
        <w:rPr>
          <w:rFonts w:ascii="Times New Roman" w:hAnsi="Times New Roman" w:cs="Times New Roman"/>
          <w:i/>
          <w:iCs/>
          <w:sz w:val="24"/>
          <w:szCs w:val="24"/>
        </w:rPr>
        <w:t>Live imaging videos are in the supplementary section. Scalebar: 50 µm.</w:t>
      </w:r>
    </w:p>
    <w:p w14:paraId="2D53BFED" w14:textId="0B6B0594" w:rsidR="00AF78E5" w:rsidRPr="00C81C6F" w:rsidRDefault="00AF78E5" w:rsidP="00AF78E5">
      <w:pPr>
        <w:spacing w:line="480" w:lineRule="auto"/>
        <w:rPr>
          <w:rFonts w:ascii="Times New Roman" w:hAnsi="Times New Roman" w:cs="Times New Roman"/>
          <w:sz w:val="24"/>
          <w:szCs w:val="24"/>
          <w:lang w:eastAsia="zh-CN"/>
        </w:rPr>
      </w:pPr>
    </w:p>
    <w:p w14:paraId="00F6AAD7" w14:textId="1AABB5CE" w:rsidR="00AF78E5" w:rsidRPr="00E67524" w:rsidRDefault="00084A44" w:rsidP="00AF78E5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4758B3" wp14:editId="182D9CD6">
            <wp:extent cx="5915708" cy="3070746"/>
            <wp:effectExtent l="0" t="0" r="0" b="0"/>
            <wp:docPr id="153776470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539" cy="30805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7CCDAF" w14:textId="27531634" w:rsidR="00AF78E5" w:rsidRPr="00BA2E8C" w:rsidRDefault="00AF78E5" w:rsidP="00AF78E5">
      <w:pPr>
        <w:spacing w:line="48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eastAsia="zh-CN"/>
        </w:rPr>
      </w:pPr>
      <w:r w:rsidRPr="00BA2E8C">
        <w:rPr>
          <w:rFonts w:ascii="Times New Roman" w:hAnsi="Times New Roman" w:cs="Times New Roman"/>
          <w:b/>
          <w:bCs/>
          <w:i/>
          <w:iCs/>
          <w:sz w:val="24"/>
          <w:szCs w:val="24"/>
        </w:rPr>
        <w:t>Figure S</w:t>
      </w:r>
      <w:r w:rsidR="00103645" w:rsidRPr="00BA2E8C">
        <w:rPr>
          <w:rFonts w:ascii="Times New Roman" w:hAnsi="Times New Roman" w:cs="Times New Roman"/>
          <w:b/>
          <w:bCs/>
          <w:i/>
          <w:iCs/>
          <w:sz w:val="24"/>
          <w:szCs w:val="24"/>
          <w:lang w:eastAsia="zh-CN"/>
        </w:rPr>
        <w:t>2</w:t>
      </w:r>
      <w:r w:rsidRPr="00BA2E8C">
        <w:rPr>
          <w:rFonts w:ascii="Times New Roman" w:hAnsi="Times New Roman" w:cs="Times New Roman"/>
          <w:b/>
          <w:bCs/>
          <w:i/>
          <w:iCs/>
          <w:sz w:val="24"/>
          <w:szCs w:val="24"/>
        </w:rPr>
        <w:t>:</w:t>
      </w:r>
      <w:r w:rsidRPr="00BA2E8C">
        <w:rPr>
          <w:rFonts w:ascii="Times New Roman" w:hAnsi="Times New Roman" w:cs="Times New Roman"/>
          <w:i/>
          <w:iCs/>
          <w:sz w:val="24"/>
          <w:szCs w:val="24"/>
        </w:rPr>
        <w:t xml:space="preserve"> Cellular viability following 24 hours incubation. All cell types were incubated with 0.5, 5, 10, 20 and 50 </w:t>
      </w:r>
      <w:r w:rsidRPr="00BA2E8C">
        <w:rPr>
          <w:rFonts w:ascii="Calibri" w:hAnsi="Calibri" w:cs="Calibri"/>
          <w:i/>
          <w:iCs/>
          <w:sz w:val="24"/>
          <w:szCs w:val="24"/>
        </w:rPr>
        <w:t>µ</w:t>
      </w:r>
      <w:r w:rsidRPr="00BA2E8C">
        <w:rPr>
          <w:rFonts w:ascii="Times New Roman" w:hAnsi="Times New Roman" w:cs="Times New Roman"/>
          <w:i/>
          <w:iCs/>
          <w:sz w:val="24"/>
          <w:szCs w:val="24"/>
        </w:rPr>
        <w:t xml:space="preserve">g/ml of IONP for 24 hours. Viability was assessed with fluorescent microscopy by staining all cell types with calcium AM and ethidium homodimer. </w:t>
      </w:r>
      <w:r w:rsidRPr="00BA2E8C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 xml:space="preserve">Scalebar: 500 </w:t>
      </w:r>
      <w:r w:rsidRPr="00BA2E8C">
        <w:rPr>
          <w:rFonts w:ascii="Times New Roman" w:hAnsi="Times New Roman" w:cs="Times New Roman"/>
          <w:i/>
          <w:iCs/>
          <w:sz w:val="24"/>
          <w:szCs w:val="24"/>
        </w:rPr>
        <w:t>µ</w:t>
      </w:r>
      <w:r w:rsidRPr="00BA2E8C">
        <w:rPr>
          <w:rFonts w:ascii="Times New Roman" w:hAnsi="Times New Roman" w:cs="Times New Roman"/>
          <w:i/>
          <w:iCs/>
          <w:sz w:val="24"/>
          <w:szCs w:val="24"/>
          <w:lang w:eastAsia="zh-CN"/>
        </w:rPr>
        <w:t>m</w:t>
      </w:r>
      <w:r w:rsidR="00BE6922" w:rsidRPr="00BA2E8C">
        <w:rPr>
          <w:rFonts w:ascii="Times New Roman" w:hAnsi="Times New Roman" w:cs="Times New Roman" w:hint="eastAsia"/>
          <w:i/>
          <w:iCs/>
          <w:sz w:val="24"/>
          <w:szCs w:val="24"/>
          <w:lang w:eastAsia="zh-CN"/>
        </w:rPr>
        <w:t>.</w:t>
      </w:r>
    </w:p>
    <w:p w14:paraId="2A5E7A62" w14:textId="5959DBF7" w:rsidR="00D25140" w:rsidRDefault="00D25140" w:rsidP="00D25140">
      <w:pPr>
        <w:spacing w:line="480" w:lineRule="auto"/>
        <w:jc w:val="both"/>
      </w:pPr>
      <w:r w:rsidRPr="31CE47E0">
        <w:rPr>
          <w:rFonts w:ascii="Aptos" w:eastAsia="Aptos" w:hAnsi="Aptos" w:cs="Aptos"/>
          <w:sz w:val="24"/>
          <w:szCs w:val="24"/>
        </w:rPr>
        <w:t xml:space="preserve">Morphological analysis indicated a change in morphology at 50 µg/ml for HAC15 and HUVEC cells. HAC15 cells showed a more rounded morphology and a reduction in cell spreading </w:t>
      </w:r>
      <w:r w:rsidRPr="31CE47E0">
        <w:rPr>
          <w:rFonts w:ascii="Aptos" w:eastAsia="Aptos" w:hAnsi="Aptos" w:cs="Aptos"/>
          <w:sz w:val="24"/>
          <w:szCs w:val="24"/>
        </w:rPr>
        <w:lastRenderedPageBreak/>
        <w:t>(Figure S</w:t>
      </w:r>
      <w:r w:rsidR="007F1B99">
        <w:rPr>
          <w:rFonts w:ascii="Aptos" w:eastAsia="Aptos" w:hAnsi="Aptos" w:cs="Aptos"/>
          <w:sz w:val="24"/>
          <w:szCs w:val="24"/>
        </w:rPr>
        <w:t>4</w:t>
      </w:r>
      <w:r w:rsidRPr="31CE47E0">
        <w:rPr>
          <w:rFonts w:ascii="Aptos" w:eastAsia="Aptos" w:hAnsi="Aptos" w:cs="Aptos"/>
          <w:sz w:val="24"/>
          <w:szCs w:val="24"/>
        </w:rPr>
        <w:t>A). Ki67 expression analysis was performed to assess the effect of IONP concentration on cell proliferation. Ki-67 expression was not affected in by IONP concentrations of 0.5-50 µg/ml H295R and HAC15. A significant increase in Ki-67 expression was observed by MUC1 following incubation with 10, 20 and 50 µg/ml of IONP. Ki-67 expression was not affected by 10 µg/ml IONP, independent of cell type (Figure S</w:t>
      </w:r>
      <w:r w:rsidR="007F1B99">
        <w:rPr>
          <w:rFonts w:ascii="Aptos" w:eastAsia="Aptos" w:hAnsi="Aptos" w:cs="Aptos"/>
          <w:sz w:val="24"/>
          <w:szCs w:val="24"/>
        </w:rPr>
        <w:t>4</w:t>
      </w:r>
      <w:proofErr w:type="gramStart"/>
      <w:r w:rsidR="007F1B99">
        <w:rPr>
          <w:rFonts w:ascii="Aptos" w:eastAsia="Aptos" w:hAnsi="Aptos" w:cs="Aptos"/>
          <w:sz w:val="24"/>
          <w:szCs w:val="24"/>
        </w:rPr>
        <w:t>B,C</w:t>
      </w:r>
      <w:proofErr w:type="gramEnd"/>
      <w:r w:rsidR="007F1B99">
        <w:rPr>
          <w:rFonts w:ascii="Aptos" w:eastAsia="Aptos" w:hAnsi="Aptos" w:cs="Aptos"/>
          <w:sz w:val="24"/>
          <w:szCs w:val="24"/>
        </w:rPr>
        <w:t>)</w:t>
      </w:r>
      <w:r w:rsidRPr="31CE47E0">
        <w:rPr>
          <w:rFonts w:ascii="Aptos" w:eastAsia="Aptos" w:hAnsi="Aptos" w:cs="Aptos"/>
          <w:sz w:val="24"/>
          <w:szCs w:val="24"/>
        </w:rPr>
        <w:t>.</w:t>
      </w:r>
    </w:p>
    <w:p w14:paraId="55A86FB7" w14:textId="3D68036A" w:rsidR="00AF78E5" w:rsidRDefault="0001157B" w:rsidP="00AF78E5">
      <w:pPr>
        <w:tabs>
          <w:tab w:val="left" w:pos="380"/>
        </w:tabs>
        <w:spacing w:line="480" w:lineRule="auto"/>
        <w:rPr>
          <w:rFonts w:ascii="Times New Roman" w:hAnsi="Times New Roman" w:cs="Times New Roman"/>
          <w:sz w:val="24"/>
          <w:szCs w:val="24"/>
          <w:lang w:eastAsia="zh-CN"/>
        </w:rPr>
      </w:pPr>
      <w:r>
        <w:rPr>
          <w:rFonts w:ascii="Times New Roman" w:hAnsi="Times New Roman" w:cs="Times New Roman"/>
          <w:noProof/>
          <w:sz w:val="24"/>
          <w:szCs w:val="24"/>
          <w:lang w:eastAsia="zh-CN"/>
        </w:rPr>
        <w:drawing>
          <wp:inline distT="0" distB="0" distL="0" distR="0" wp14:anchorId="12B5A4EC" wp14:editId="70E9493E">
            <wp:extent cx="6249258" cy="5409688"/>
            <wp:effectExtent l="0" t="0" r="0" b="0"/>
            <wp:docPr id="203957095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258" cy="54209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0B880E" w14:textId="7D269501" w:rsidR="00AF78E5" w:rsidRPr="00BA2E8C" w:rsidRDefault="00AF78E5" w:rsidP="00462060">
      <w:pPr>
        <w:spacing w:line="48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eastAsia="zh-CN"/>
        </w:rPr>
      </w:pPr>
      <w:r w:rsidRPr="00BA2E8C">
        <w:rPr>
          <w:rFonts w:ascii="Times New Roman" w:hAnsi="Times New Roman" w:cs="Times New Roman"/>
          <w:b/>
          <w:bCs/>
          <w:i/>
          <w:iCs/>
          <w:sz w:val="24"/>
          <w:szCs w:val="24"/>
        </w:rPr>
        <w:t>Figure S</w:t>
      </w:r>
      <w:r w:rsidR="00103645" w:rsidRPr="00BA2E8C">
        <w:rPr>
          <w:rFonts w:ascii="Times New Roman" w:hAnsi="Times New Roman" w:cs="Times New Roman"/>
          <w:b/>
          <w:bCs/>
          <w:i/>
          <w:iCs/>
          <w:sz w:val="24"/>
          <w:szCs w:val="24"/>
          <w:lang w:eastAsia="zh-CN"/>
        </w:rPr>
        <w:t>3</w:t>
      </w:r>
      <w:r w:rsidRPr="00BA2E8C">
        <w:rPr>
          <w:rFonts w:ascii="Times New Roman" w:hAnsi="Times New Roman" w:cs="Times New Roman"/>
          <w:b/>
          <w:bCs/>
          <w:i/>
          <w:iCs/>
          <w:sz w:val="24"/>
          <w:szCs w:val="24"/>
        </w:rPr>
        <w:t>:</w:t>
      </w:r>
      <w:r w:rsidRPr="00BA2E8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3634BE" w:rsidRPr="00BA2E8C">
        <w:rPr>
          <w:rFonts w:ascii="Times New Roman" w:hAnsi="Times New Roman" w:cs="Times New Roman"/>
          <w:i/>
          <w:iCs/>
          <w:sz w:val="24"/>
          <w:szCs w:val="24"/>
        </w:rPr>
        <w:t>(A) Morphological assessment and Ki-67 expression of MUC1, H295R, HAC15 and HUVEC cells following incubation with 0.5, 5, 10, 20 and 50 µg/ml of IONP for 24 hours. Cytoskeleton was stained with FITC-Phalloidin, and nuclei was stained with DAPI</w:t>
      </w:r>
      <w:r w:rsidR="00D22626" w:rsidRPr="00BA2E8C">
        <w:rPr>
          <w:rFonts w:ascii="Times New Roman" w:hAnsi="Times New Roman" w:cs="Times New Roman" w:hint="eastAsia"/>
          <w:i/>
          <w:iCs/>
          <w:sz w:val="24"/>
          <w:szCs w:val="24"/>
          <w:lang w:eastAsia="zh-CN"/>
        </w:rPr>
        <w:t xml:space="preserve">. </w:t>
      </w:r>
      <w:r w:rsidR="00D22626" w:rsidRPr="00BA2E8C">
        <w:rPr>
          <w:rFonts w:ascii="Times New Roman" w:hAnsi="Times New Roman" w:cs="Times New Roman"/>
          <w:i/>
          <w:iCs/>
          <w:sz w:val="24"/>
          <w:szCs w:val="24"/>
        </w:rPr>
        <w:t xml:space="preserve">Data are represented as mean ± SD, (n=3), statistical comparisons were performed using ANOVA analysis, </w:t>
      </w:r>
      <w:r w:rsidR="00D22626" w:rsidRPr="00BA2E8C">
        <w:rPr>
          <w:rFonts w:ascii="Times New Roman" w:hAnsi="Times New Roman" w:cs="Times New Roman"/>
          <w:i/>
          <w:iCs/>
          <w:sz w:val="24"/>
          <w:szCs w:val="24"/>
        </w:rPr>
        <w:lastRenderedPageBreak/>
        <w:t>post-hoc. Statistical significance is denoted as *p&lt;0.05, **p&lt;0.01, ****p&lt;0.001. Scalebar: 50 µM</w:t>
      </w:r>
      <w:r w:rsidR="00D22626" w:rsidRPr="00BA2E8C">
        <w:rPr>
          <w:rFonts w:ascii="Times New Roman" w:hAnsi="Times New Roman" w:cs="Times New Roman" w:hint="eastAsia"/>
          <w:i/>
          <w:iCs/>
          <w:sz w:val="24"/>
          <w:szCs w:val="24"/>
          <w:lang w:eastAsia="zh-CN"/>
        </w:rPr>
        <w:t>.</w:t>
      </w:r>
      <w:r w:rsidR="00EE0DE9" w:rsidRPr="00BA2E8C">
        <w:rPr>
          <w:rFonts w:ascii="Times New Roman" w:hAnsi="Times New Roman" w:cs="Times New Roman"/>
          <w:i/>
          <w:iCs/>
          <w:sz w:val="24"/>
          <w:szCs w:val="24"/>
          <w:lang w:eastAsia="zh-CN"/>
        </w:rPr>
        <w:t xml:space="preserve"> </w:t>
      </w:r>
      <w:r w:rsidR="00DA0A7D" w:rsidRPr="00BA2E8C">
        <w:rPr>
          <w:rFonts w:ascii="Times New Roman" w:hAnsi="Times New Roman" w:cs="Times New Roman" w:hint="eastAsia"/>
          <w:i/>
          <w:iCs/>
          <w:sz w:val="24"/>
          <w:szCs w:val="24"/>
        </w:rPr>
        <w:t>A</w:t>
      </w:r>
      <w:r w:rsidR="00DA0A7D" w:rsidRPr="00BA2E8C">
        <w:rPr>
          <w:rFonts w:ascii="Times New Roman" w:hAnsi="Times New Roman" w:cs="Times New Roman"/>
          <w:i/>
          <w:iCs/>
          <w:sz w:val="24"/>
          <w:szCs w:val="24"/>
        </w:rPr>
        <w:t xml:space="preserve"> change in morphology at 50 µg/ml for HAC15 and HUVEC cells</w:t>
      </w:r>
      <w:r w:rsidR="00DA0A7D" w:rsidRPr="00BA2E8C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was </w:t>
      </w:r>
      <w:r w:rsidR="00DA0A7D" w:rsidRPr="00BA2E8C">
        <w:rPr>
          <w:rFonts w:ascii="Times New Roman" w:hAnsi="Times New Roman" w:cs="Times New Roman"/>
          <w:i/>
          <w:iCs/>
          <w:sz w:val="24"/>
          <w:szCs w:val="24"/>
        </w:rPr>
        <w:t>demonstrated.</w:t>
      </w:r>
      <w:r w:rsidR="00DA0A7D" w:rsidRPr="00BA2E8C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</w:t>
      </w:r>
      <w:r w:rsidR="00DA0A7D" w:rsidRPr="00BA2E8C">
        <w:rPr>
          <w:rFonts w:ascii="Times New Roman" w:hAnsi="Times New Roman" w:cs="Times New Roman"/>
          <w:i/>
          <w:iCs/>
          <w:sz w:val="24"/>
          <w:szCs w:val="24"/>
        </w:rPr>
        <w:t xml:space="preserve">HAC15 cells showed a more rounded morphology and a reduction in cell </w:t>
      </w:r>
      <w:r w:rsidR="006D5F89" w:rsidRPr="00BA2E8C">
        <w:rPr>
          <w:rFonts w:ascii="Times New Roman" w:hAnsi="Times New Roman" w:cs="Times New Roman"/>
          <w:i/>
          <w:iCs/>
          <w:sz w:val="24"/>
          <w:szCs w:val="24"/>
        </w:rPr>
        <w:t>spreading</w:t>
      </w:r>
      <w:r w:rsidR="006D5F89" w:rsidRPr="00BA2E8C">
        <w:rPr>
          <w:rFonts w:ascii="Times New Roman" w:hAnsi="Times New Roman" w:cs="Times New Roman" w:hint="eastAsia"/>
          <w:i/>
          <w:iCs/>
          <w:sz w:val="24"/>
          <w:szCs w:val="24"/>
          <w:lang w:eastAsia="zh-CN"/>
        </w:rPr>
        <w:t>;</w:t>
      </w:r>
      <w:r w:rsidR="006F495E" w:rsidRPr="00BA2E8C">
        <w:rPr>
          <w:rFonts w:ascii="Times New Roman" w:hAnsi="Times New Roman" w:cs="Times New Roman" w:hint="eastAsia"/>
          <w:i/>
          <w:iCs/>
          <w:sz w:val="24"/>
          <w:szCs w:val="24"/>
          <w:lang w:eastAsia="zh-CN"/>
        </w:rPr>
        <w:t xml:space="preserve"> </w:t>
      </w:r>
      <w:r w:rsidR="003634BE" w:rsidRPr="00BA2E8C">
        <w:rPr>
          <w:rFonts w:ascii="Times New Roman" w:hAnsi="Times New Roman" w:cs="Times New Roman"/>
          <w:i/>
          <w:iCs/>
          <w:sz w:val="24"/>
          <w:szCs w:val="24"/>
        </w:rPr>
        <w:t>(B) Cell proliferation was assessed by Ki-67 staining following 24hrs, represented as MFI (AU) vs control;</w:t>
      </w:r>
      <w:r w:rsidR="006F495E" w:rsidRPr="00BA2E8C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</w:t>
      </w:r>
      <w:r w:rsidR="00DA0A7D" w:rsidRPr="00BA2E8C">
        <w:rPr>
          <w:rFonts w:ascii="Times New Roman" w:hAnsi="Times New Roman" w:cs="Times New Roman"/>
          <w:i/>
          <w:iCs/>
          <w:sz w:val="24"/>
          <w:szCs w:val="24"/>
        </w:rPr>
        <w:t>Ki-67 expression was not affected in by IONP concentrations of 0.5-50 µg/ml in H295R and HAC15. A significant increase in Ki-67 expression was observed in MUC1 following incubation with 10, 20 and 50 µg/ml of ION</w:t>
      </w:r>
      <w:r w:rsidR="00BC5090" w:rsidRPr="00BA2E8C">
        <w:rPr>
          <w:rFonts w:ascii="Times New Roman" w:hAnsi="Times New Roman" w:cs="Times New Roman" w:hint="eastAsia"/>
          <w:i/>
          <w:iCs/>
          <w:sz w:val="24"/>
          <w:szCs w:val="24"/>
          <w:lang w:eastAsia="zh-CN"/>
        </w:rPr>
        <w:t>P</w:t>
      </w:r>
      <w:r w:rsidR="00DA0A7D" w:rsidRPr="00BA2E8C"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="00D22626" w:rsidRPr="00BA2E8C">
        <w:rPr>
          <w:rFonts w:ascii="Times New Roman" w:hAnsi="Times New Roman" w:cs="Times New Roman" w:hint="eastAsia"/>
          <w:i/>
          <w:iCs/>
          <w:sz w:val="24"/>
          <w:szCs w:val="24"/>
          <w:lang w:eastAsia="zh-CN"/>
        </w:rPr>
        <w:t xml:space="preserve"> </w:t>
      </w:r>
      <w:r w:rsidR="003634BE" w:rsidRPr="00BA2E8C">
        <w:rPr>
          <w:rFonts w:ascii="Times New Roman" w:hAnsi="Times New Roman" w:cs="Times New Roman"/>
          <w:i/>
          <w:iCs/>
          <w:sz w:val="24"/>
          <w:szCs w:val="24"/>
        </w:rPr>
        <w:t>(C) Cell proliferation was assessed by Ki-67 staining following incubation with 10 µg/ml of IONP for 7 days, represented as MFI (AU) vs control.</w:t>
      </w:r>
      <w:r w:rsidR="006F495E" w:rsidRPr="00BA2E8C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</w:t>
      </w:r>
      <w:r w:rsidR="006F495E" w:rsidRPr="00BA2E8C">
        <w:rPr>
          <w:rFonts w:ascii="Times New Roman" w:hAnsi="Times New Roman" w:cs="Times New Roman"/>
          <w:i/>
          <w:iCs/>
          <w:sz w:val="24"/>
          <w:szCs w:val="24"/>
        </w:rPr>
        <w:t>Ki-67 expression was not affected by 10 µg/ml IONP, independent of cell type</w:t>
      </w:r>
      <w:r w:rsidR="00D22626" w:rsidRPr="00BA2E8C">
        <w:rPr>
          <w:rFonts w:ascii="Times New Roman" w:hAnsi="Times New Roman" w:cs="Times New Roman" w:hint="eastAsia"/>
          <w:i/>
          <w:iCs/>
          <w:sz w:val="24"/>
          <w:szCs w:val="24"/>
          <w:lang w:eastAsia="zh-CN"/>
        </w:rPr>
        <w:t>.</w:t>
      </w:r>
    </w:p>
    <w:p w14:paraId="522707DA" w14:textId="04E755B7" w:rsidR="00103645" w:rsidRDefault="00103645" w:rsidP="00103645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eastAsia="zh-CN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 w:rsidRPr="00D22626">
        <w:rPr>
          <w:rFonts w:ascii="Times New Roman" w:hAnsi="Times New Roman" w:cs="Times New Roman"/>
          <w:sz w:val="24"/>
          <w:szCs w:val="24"/>
        </w:rPr>
        <w:t xml:space="preserve">etabolic activity for all cell types was assessed with </w:t>
      </w:r>
      <w:proofErr w:type="spellStart"/>
      <w:r w:rsidRPr="00D22626">
        <w:rPr>
          <w:rFonts w:ascii="Times New Roman" w:hAnsi="Times New Roman" w:cs="Times New Roman"/>
          <w:sz w:val="24"/>
          <w:szCs w:val="24"/>
        </w:rPr>
        <w:t>alamarBlue</w:t>
      </w:r>
      <w:proofErr w:type="spellEnd"/>
      <w:r w:rsidRPr="00D22626">
        <w:rPr>
          <w:rFonts w:ascii="Times New Roman" w:hAnsi="Times New Roman" w:cs="Times New Roman"/>
          <w:sz w:val="24"/>
          <w:szCs w:val="24"/>
        </w:rPr>
        <w:t xml:space="preserve"> at day 1, 3 and 7. At day 3, IONP concentration of 50 µg/ml significantly reduced HAC15 metabolic activity (70.96 ±6 % vs 100% control, p&lt;0.05). However, by day 7 metabolic activity of HAC15 at 50 µg/ml showed recovery (Day 3 = 70.96 ±6 % vs Day 7 = 79.4 ± 6 %).</w:t>
      </w:r>
      <w:r w:rsidRPr="00D2262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22626">
        <w:rPr>
          <w:rFonts w:ascii="Times New Roman" w:hAnsi="Times New Roman" w:cs="Times New Roman"/>
          <w:sz w:val="24"/>
          <w:szCs w:val="24"/>
        </w:rPr>
        <w:t>Cell metabolic activity remained stable at Day 7 for all cell types (Figure S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D22626">
        <w:rPr>
          <w:rFonts w:ascii="Times New Roman" w:hAnsi="Times New Roman" w:cs="Times New Roman"/>
          <w:sz w:val="24"/>
          <w:szCs w:val="24"/>
        </w:rPr>
        <w:t>A).</w:t>
      </w:r>
      <w:r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 </w:t>
      </w:r>
      <w:r w:rsidRPr="00D22626">
        <w:rPr>
          <w:rFonts w:ascii="Times New Roman" w:hAnsi="Times New Roman" w:cs="Times New Roman"/>
          <w:sz w:val="24"/>
          <w:szCs w:val="24"/>
        </w:rPr>
        <w:t>Seahorse FX24 extracellular analyser was used to assess the effect of the optimum IONP concentration of 10 µg/ml on the respiration of the cells by measuring mitochondrial function using the Mito Stress Test Kit (Figure S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D22626">
        <w:rPr>
          <w:rFonts w:ascii="Times New Roman" w:hAnsi="Times New Roman" w:cs="Times New Roman"/>
          <w:sz w:val="24"/>
          <w:szCs w:val="24"/>
        </w:rPr>
        <w:t>B).</w:t>
      </w:r>
      <w:r w:rsidRPr="00D2262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22626">
        <w:rPr>
          <w:rFonts w:ascii="Times New Roman" w:hAnsi="Times New Roman" w:cs="Times New Roman"/>
          <w:sz w:val="24"/>
          <w:szCs w:val="24"/>
        </w:rPr>
        <w:t>Parameters such as spare respiration capacity, maximal respiration, ATP production and non-mitochondrial oxygen consumption were measured for MUC1, H295R and HAC15 cells. 10 µg/ml of IONP did not affect mitochondrial function of the ACC cells (Figure S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D22626">
        <w:rPr>
          <w:rFonts w:ascii="Times New Roman" w:hAnsi="Times New Roman" w:cs="Times New Roman"/>
          <w:sz w:val="24"/>
          <w:szCs w:val="24"/>
        </w:rPr>
        <w:t>C).</w:t>
      </w:r>
    </w:p>
    <w:p w14:paraId="3E6512A8" w14:textId="77777777" w:rsidR="00103645" w:rsidRDefault="00103645" w:rsidP="00103645">
      <w:pPr>
        <w:spacing w:line="480" w:lineRule="auto"/>
        <w:rPr>
          <w:rFonts w:ascii="Times New Roman" w:hAnsi="Times New Roman" w:cs="Times New Roman"/>
          <w:sz w:val="24"/>
          <w:szCs w:val="24"/>
          <w:lang w:eastAsia="zh-CN"/>
        </w:rPr>
      </w:pPr>
      <w:r>
        <w:rPr>
          <w:rFonts w:ascii="Times New Roma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275C431E" wp14:editId="19878AE0">
            <wp:extent cx="5986917" cy="4624165"/>
            <wp:effectExtent l="0" t="0" r="0" b="5080"/>
            <wp:docPr id="13634231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397" cy="46392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89966A" w14:textId="728DAD25" w:rsidR="00103645" w:rsidRDefault="00103645" w:rsidP="00103645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eastAsia="zh-CN"/>
        </w:rPr>
      </w:pPr>
      <w:r w:rsidRPr="00BA2E8C">
        <w:rPr>
          <w:rFonts w:ascii="Times New Roman" w:hAnsi="Times New Roman" w:cs="Times New Roman"/>
          <w:b/>
          <w:bCs/>
          <w:i/>
          <w:iCs/>
          <w:sz w:val="24"/>
          <w:szCs w:val="24"/>
        </w:rPr>
        <w:t>Figure S</w:t>
      </w:r>
      <w:r w:rsidRPr="00BA2E8C">
        <w:rPr>
          <w:rFonts w:ascii="Times New Roman" w:hAnsi="Times New Roman" w:cs="Times New Roman"/>
          <w:b/>
          <w:bCs/>
          <w:i/>
          <w:iCs/>
          <w:sz w:val="24"/>
          <w:szCs w:val="24"/>
          <w:lang w:eastAsia="zh-CN"/>
        </w:rPr>
        <w:t>4</w:t>
      </w:r>
      <w:r w:rsidRPr="00BA2E8C">
        <w:rPr>
          <w:rFonts w:ascii="Times New Roman" w:hAnsi="Times New Roman" w:cs="Times New Roman"/>
          <w:b/>
          <w:bCs/>
          <w:i/>
          <w:iCs/>
          <w:sz w:val="24"/>
          <w:szCs w:val="24"/>
        </w:rPr>
        <w:t>:</w:t>
      </w:r>
      <w:r w:rsidRPr="00BA2E8C">
        <w:rPr>
          <w:rFonts w:ascii="Times New Roman" w:hAnsi="Times New Roman" w:cs="Times New Roman" w:hint="eastAsia"/>
          <w:b/>
          <w:bCs/>
          <w:i/>
          <w:iCs/>
          <w:sz w:val="24"/>
          <w:szCs w:val="24"/>
          <w:lang w:eastAsia="zh-CN"/>
        </w:rPr>
        <w:t xml:space="preserve"> </w:t>
      </w:r>
      <w:r w:rsidRPr="00BA2E8C">
        <w:rPr>
          <w:rFonts w:ascii="Times New Roman" w:hAnsi="Times New Roman" w:cs="Times New Roman"/>
          <w:i/>
          <w:iCs/>
          <w:sz w:val="24"/>
          <w:szCs w:val="24"/>
        </w:rPr>
        <w:t xml:space="preserve">(A) Metabolic activity and Seahorse analysis following incubation with 0.5, 5, 10, 20 and 50 µg/ml of IONP for 1, 3 and 7 days using </w:t>
      </w:r>
      <w:proofErr w:type="spellStart"/>
      <w:r w:rsidRPr="00BA2E8C">
        <w:rPr>
          <w:rFonts w:ascii="Times New Roman" w:hAnsi="Times New Roman" w:cs="Times New Roman"/>
          <w:i/>
          <w:iCs/>
          <w:sz w:val="24"/>
          <w:szCs w:val="24"/>
        </w:rPr>
        <w:t>alamarBlue</w:t>
      </w:r>
      <w:proofErr w:type="spellEnd"/>
      <w:r w:rsidRPr="00BA2E8C">
        <w:rPr>
          <w:rFonts w:ascii="Times New Roman" w:hAnsi="Times New Roman" w:cs="Times New Roman"/>
          <w:i/>
          <w:iCs/>
          <w:sz w:val="24"/>
          <w:szCs w:val="24"/>
        </w:rPr>
        <w:t xml:space="preserve"> to assess metabolic activity. (B)</w:t>
      </w:r>
      <w:r w:rsidR="00EF0F1A" w:rsidRPr="00EF0F1A">
        <w:t xml:space="preserve"> </w:t>
      </w:r>
      <w:r w:rsidR="00EF0F1A" w:rsidRPr="00EF0F1A">
        <w:rPr>
          <w:rFonts w:ascii="Times New Roman" w:hAnsi="Times New Roman" w:cs="Times New Roman"/>
          <w:i/>
          <w:iCs/>
          <w:sz w:val="24"/>
          <w:szCs w:val="24"/>
        </w:rPr>
        <w:t>Seahorse XF Cell Mito Stress Test profile showing oxygen consumption rate (OCR) over time in response to sequential addition of oligomycin, FCCP, and rotenone/antimycin A, highlighting key mitochondrial respiration parameters</w:t>
      </w:r>
      <w:r w:rsidR="00EF0F1A">
        <w:rPr>
          <w:rFonts w:ascii="Times New Roman" w:hAnsi="Times New Roman" w:cs="Times New Roman"/>
          <w:i/>
          <w:iCs/>
          <w:sz w:val="24"/>
          <w:szCs w:val="24"/>
        </w:rPr>
        <w:t>. (C)</w:t>
      </w:r>
      <w:r w:rsidRPr="00BA2E8C">
        <w:rPr>
          <w:rFonts w:ascii="Times New Roman" w:hAnsi="Times New Roman" w:cs="Times New Roman"/>
          <w:i/>
          <w:iCs/>
          <w:sz w:val="24"/>
          <w:szCs w:val="24"/>
        </w:rPr>
        <w:t xml:space="preserve"> MUC1, H295R and HAC15 cells were incubated with 10 µg/ml of IONP for 24 hours and mitochondrial respiration was assessed with a Seahorse FX24 extracellular analyser in real time after addition of 2 µM oligomycin, and 0.125, 0.25 and 0.5 µM FCCP. Data are represented as mean ± SD, (n=3), statistical comparisons were performed using ANOVA analysis, post-hoc. Statistical significance is denoted as *p&lt;0.05</w:t>
      </w:r>
      <w:r w:rsidRPr="003634BE">
        <w:rPr>
          <w:rFonts w:ascii="Times New Roman" w:hAnsi="Times New Roman" w:cs="Times New Roman"/>
          <w:sz w:val="24"/>
          <w:szCs w:val="24"/>
        </w:rPr>
        <w:t>.</w:t>
      </w:r>
    </w:p>
    <w:p w14:paraId="356F5B27" w14:textId="5E26A360" w:rsidR="00AF78E5" w:rsidRDefault="00E40ECB" w:rsidP="00AF78E5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object w:dxaOrig="3945" w:dyaOrig="810" w14:anchorId="43CDD69C">
          <v:shape id="_x0000_i1028" type="#_x0000_t75" style="width:197.25pt;height:40.5pt" o:ole="">
            <v:imagedata r:id="rId18" o:title=""/>
          </v:shape>
          <o:OLEObject Type="Embed" ProgID="Package" ShapeID="_x0000_i1028" DrawAspect="Content" ObjectID="_1809489775" r:id="rId19"/>
        </w:object>
      </w:r>
      <w:r>
        <w:rPr>
          <w:rFonts w:ascii="Times New Roman" w:hAnsi="Times New Roman" w:cs="Times New Roman"/>
          <w:b/>
          <w:bCs/>
          <w:sz w:val="24"/>
          <w:szCs w:val="24"/>
        </w:rPr>
        <w:object w:dxaOrig="4351" w:dyaOrig="810" w14:anchorId="0B5682C7">
          <v:shape id="_x0000_i1029" type="#_x0000_t75" style="width:217.55pt;height:40.5pt" o:ole="">
            <v:imagedata r:id="rId20" o:title=""/>
          </v:shape>
          <o:OLEObject Type="Embed" ProgID="Package" ShapeID="_x0000_i1029" DrawAspect="Content" ObjectID="_1809489776" r:id="rId21"/>
        </w:object>
      </w:r>
    </w:p>
    <w:p w14:paraId="64070D13" w14:textId="1BFB8B51" w:rsidR="00D86DAC" w:rsidRPr="00BA2E8C" w:rsidRDefault="002E257B" w:rsidP="007701C5">
      <w:pPr>
        <w:spacing w:line="48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eastAsia="zh-CN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lastRenderedPageBreak/>
        <w:t>Video</w:t>
      </w:r>
      <w:r w:rsidR="00AF78E5" w:rsidRPr="00BA2E8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S</w:t>
      </w:r>
      <w:r w:rsidR="00AF78E5" w:rsidRPr="00BA2E8C">
        <w:rPr>
          <w:rFonts w:ascii="Times New Roman" w:hAnsi="Times New Roman" w:cs="Times New Roman" w:hint="eastAsia"/>
          <w:b/>
          <w:bCs/>
          <w:i/>
          <w:iCs/>
          <w:sz w:val="24"/>
          <w:szCs w:val="24"/>
          <w:lang w:eastAsia="zh-CN"/>
        </w:rPr>
        <w:t>5</w:t>
      </w:r>
      <w:r w:rsidR="00AF78E5" w:rsidRPr="00BA2E8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: </w:t>
      </w:r>
      <w:r w:rsidR="00805BFF" w:rsidRPr="00BA2E8C">
        <w:rPr>
          <w:rFonts w:ascii="Times New Roman" w:hAnsi="Times New Roman" w:cs="Times New Roman"/>
          <w:i/>
          <w:iCs/>
          <w:sz w:val="24"/>
          <w:szCs w:val="24"/>
          <w:lang w:eastAsia="zh-CN"/>
        </w:rPr>
        <w:t>Live imaging of IONP uptake over 24 hours</w:t>
      </w:r>
      <w:r>
        <w:rPr>
          <w:rFonts w:ascii="Times New Roman" w:hAnsi="Times New Roman" w:cs="Times New Roman"/>
          <w:i/>
          <w:iCs/>
          <w:sz w:val="24"/>
          <w:szCs w:val="24"/>
          <w:lang w:eastAsia="zh-CN"/>
        </w:rPr>
        <w:t xml:space="preserve"> by</w:t>
      </w:r>
      <w:r w:rsidR="00805BFF" w:rsidRPr="00BA2E8C">
        <w:rPr>
          <w:rFonts w:ascii="Times New Roman" w:hAnsi="Times New Roman" w:cs="Times New Roman"/>
          <w:i/>
          <w:iCs/>
          <w:sz w:val="24"/>
          <w:szCs w:val="24"/>
          <w:lang w:eastAsia="zh-CN"/>
        </w:rPr>
        <w:t xml:space="preserve"> </w:t>
      </w:r>
      <w:r w:rsidR="00805BFF" w:rsidRPr="00BA2E8C">
        <w:rPr>
          <w:rFonts w:ascii="Times New Roman" w:hAnsi="Times New Roman" w:cs="Times New Roman" w:hint="eastAsia"/>
          <w:i/>
          <w:iCs/>
          <w:sz w:val="24"/>
          <w:szCs w:val="24"/>
          <w:lang w:eastAsia="zh-CN"/>
        </w:rPr>
        <w:t>HUVEC cells</w:t>
      </w:r>
      <w:r w:rsidR="00805BFF" w:rsidRPr="00BA2E8C">
        <w:rPr>
          <w:rFonts w:ascii="Times New Roman" w:hAnsi="Times New Roman" w:cs="Times New Roman" w:hint="eastAsia"/>
          <w:b/>
          <w:bCs/>
          <w:i/>
          <w:iCs/>
          <w:sz w:val="24"/>
          <w:szCs w:val="24"/>
          <w:lang w:eastAsia="zh-CN"/>
        </w:rPr>
        <w:t xml:space="preserve">.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eastAsia="zh-CN"/>
        </w:rPr>
        <w:t xml:space="preserve">Video S6 </w:t>
      </w:r>
      <w:r w:rsidRPr="00BA2E8C">
        <w:rPr>
          <w:rFonts w:ascii="Times New Roman" w:hAnsi="Times New Roman" w:cs="Times New Roman"/>
          <w:i/>
          <w:iCs/>
          <w:sz w:val="24"/>
          <w:szCs w:val="24"/>
          <w:lang w:eastAsia="zh-CN"/>
        </w:rPr>
        <w:t>Live imaging of IONP uptake over 24 hours</w:t>
      </w:r>
      <w:r>
        <w:rPr>
          <w:rFonts w:ascii="Times New Roman" w:hAnsi="Times New Roman" w:cs="Times New Roman"/>
          <w:i/>
          <w:iCs/>
          <w:sz w:val="24"/>
          <w:szCs w:val="24"/>
          <w:lang w:eastAsia="zh-CN"/>
        </w:rPr>
        <w:t xml:space="preserve"> by</w:t>
      </w:r>
      <w:r w:rsidRPr="00BA2E8C">
        <w:rPr>
          <w:rFonts w:ascii="Times New Roman" w:hAnsi="Times New Roman" w:cs="Times New Roman"/>
          <w:i/>
          <w:iCs/>
          <w:sz w:val="24"/>
          <w:szCs w:val="24"/>
          <w:lang w:eastAsia="zh-CN"/>
        </w:rPr>
        <w:t xml:space="preserve"> </w:t>
      </w:r>
      <w:proofErr w:type="spellStart"/>
      <w:r w:rsidRPr="00BA2E8C">
        <w:rPr>
          <w:rFonts w:ascii="Times New Roman" w:hAnsi="Times New Roman" w:cs="Times New Roman"/>
          <w:i/>
          <w:iCs/>
          <w:sz w:val="24"/>
          <w:szCs w:val="24"/>
          <w:lang w:eastAsia="zh-CN"/>
        </w:rPr>
        <w:t>by</w:t>
      </w:r>
      <w:proofErr w:type="spellEnd"/>
      <w:r w:rsidRPr="00BA2E8C">
        <w:rPr>
          <w:rFonts w:ascii="Times New Roman" w:hAnsi="Times New Roman" w:cs="Times New Roman"/>
          <w:i/>
          <w:iCs/>
          <w:sz w:val="24"/>
          <w:szCs w:val="24"/>
          <w:lang w:eastAsia="zh-CN"/>
        </w:rPr>
        <w:t xml:space="preserve"> </w:t>
      </w:r>
      <w:r w:rsidRPr="00BA2E8C">
        <w:rPr>
          <w:rFonts w:ascii="Times New Roman" w:hAnsi="Times New Roman" w:cs="Times New Roman"/>
          <w:i/>
          <w:iCs/>
          <w:sz w:val="24"/>
          <w:szCs w:val="24"/>
        </w:rPr>
        <w:t xml:space="preserve">Monocytes </w:t>
      </w:r>
      <w:r w:rsidRPr="00BA2E8C">
        <w:rPr>
          <w:rFonts w:ascii="Times New Roman" w:hAnsi="Times New Roman" w:cs="Times New Roman" w:hint="eastAsia"/>
          <w:i/>
          <w:iCs/>
          <w:sz w:val="24"/>
          <w:szCs w:val="24"/>
          <w:lang w:eastAsia="zh-CN"/>
        </w:rPr>
        <w:t xml:space="preserve">and </w:t>
      </w:r>
      <w:r w:rsidR="00805BFF" w:rsidRPr="00BA2E8C">
        <w:rPr>
          <w:rFonts w:ascii="Times New Roman" w:hAnsi="Times New Roman" w:cs="Times New Roman"/>
          <w:i/>
          <w:iCs/>
          <w:sz w:val="24"/>
          <w:szCs w:val="24"/>
        </w:rPr>
        <w:t xml:space="preserve">Monocytes </w:t>
      </w:r>
      <w:r w:rsidR="00805BFF" w:rsidRPr="00BA2E8C">
        <w:rPr>
          <w:rFonts w:ascii="Times New Roman" w:hAnsi="Times New Roman" w:cs="Times New Roman" w:hint="eastAsia"/>
          <w:i/>
          <w:iCs/>
          <w:sz w:val="24"/>
          <w:szCs w:val="24"/>
          <w:lang w:eastAsia="zh-CN"/>
        </w:rPr>
        <w:t xml:space="preserve">and HUVEC cells </w:t>
      </w:r>
      <w:r w:rsidR="00BB58D8" w:rsidRPr="00BA2E8C">
        <w:rPr>
          <w:rFonts w:ascii="Times New Roman" w:hAnsi="Times New Roman" w:cs="Times New Roman"/>
          <w:i/>
          <w:iCs/>
          <w:sz w:val="24"/>
          <w:szCs w:val="24"/>
        </w:rPr>
        <w:t xml:space="preserve">were incubated with 10 µg/ml of </w:t>
      </w:r>
      <w:proofErr w:type="gramStart"/>
      <w:r w:rsidR="00BB58D8" w:rsidRPr="00BA2E8C">
        <w:rPr>
          <w:rFonts w:ascii="Times New Roman" w:hAnsi="Times New Roman" w:cs="Times New Roman"/>
          <w:i/>
          <w:iCs/>
          <w:sz w:val="24"/>
          <w:szCs w:val="24"/>
        </w:rPr>
        <w:t>IONP</w:t>
      </w:r>
      <w:proofErr w:type="gramEnd"/>
      <w:r w:rsidR="00BB58D8" w:rsidRPr="00BA2E8C">
        <w:rPr>
          <w:rFonts w:ascii="Times New Roman" w:hAnsi="Times New Roman" w:cs="Times New Roman"/>
          <w:i/>
          <w:iCs/>
          <w:sz w:val="24"/>
          <w:szCs w:val="24"/>
        </w:rPr>
        <w:t xml:space="preserve"> and uptake was assessed using Confocal Microscopy. An image was taken every 15 minutes over 24 hours.</w:t>
      </w:r>
      <w:r w:rsidR="00805BFF" w:rsidRPr="00BA2E8C">
        <w:rPr>
          <w:rFonts w:ascii="Times New Roman" w:hAnsi="Times New Roman" w:cs="Times New Roman" w:hint="eastAsia"/>
          <w:i/>
          <w:iCs/>
          <w:sz w:val="24"/>
          <w:szCs w:val="24"/>
          <w:lang w:eastAsia="zh-CN"/>
        </w:rPr>
        <w:t xml:space="preserve"> </w:t>
      </w:r>
      <w:r w:rsidR="00BB58D8" w:rsidRPr="00BA2E8C">
        <w:rPr>
          <w:rFonts w:ascii="Times New Roman" w:hAnsi="Times New Roman" w:cs="Times New Roman"/>
          <w:i/>
          <w:iCs/>
          <w:sz w:val="24"/>
          <w:szCs w:val="24"/>
        </w:rPr>
        <w:t>Live imaging videos are in the supplementary section.  Scalebar: 50 µm.</w:t>
      </w:r>
    </w:p>
    <w:sectPr w:rsidR="00D86DAC" w:rsidRPr="00BA2E8C" w:rsidSect="008E4B24">
      <w:footerReference w:type="even" r:id="rId22"/>
      <w:footerReference w:type="default" r:id="rId23"/>
      <w:footerReference w:type="first" r:id="rId24"/>
      <w:pgSz w:w="11906" w:h="16838"/>
      <w:pgMar w:top="1440" w:right="851" w:bottom="426" w:left="1440" w:header="708" w:footer="708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17C0FC" w14:textId="77777777" w:rsidR="00157980" w:rsidRDefault="00157980" w:rsidP="00EC62DF">
      <w:pPr>
        <w:spacing w:after="0" w:line="240" w:lineRule="auto"/>
      </w:pPr>
      <w:r>
        <w:separator/>
      </w:r>
    </w:p>
  </w:endnote>
  <w:endnote w:type="continuationSeparator" w:id="0">
    <w:p w14:paraId="632F9C3A" w14:textId="77777777" w:rsidR="00157980" w:rsidRDefault="00157980" w:rsidP="00EC62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Rockwell">
    <w:altName w:val="Rockwell"/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591979" w14:textId="24037027" w:rsidR="000078B1" w:rsidRDefault="000078B1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32F2569E" wp14:editId="2DC88ABA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35280"/>
              <wp:effectExtent l="0" t="0" r="9525" b="0"/>
              <wp:wrapNone/>
              <wp:docPr id="548514204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352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BD116D2" w14:textId="3F65403E" w:rsidR="000078B1" w:rsidRPr="000078B1" w:rsidRDefault="000078B1" w:rsidP="000078B1">
                          <w:pPr>
                            <w:spacing w:after="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0078B1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2F2569E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64.25pt;height:26.4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" filled="f" stroked="f">
              <v:textbox style="mso-fit-shape-to-text:t" inset="20pt,0,0,15pt">
                <w:txbxContent>
                  <w:p w14:paraId="1BD116D2" w14:textId="3F65403E" w:rsidR="000078B1" w:rsidRPr="000078B1" w:rsidRDefault="000078B1" w:rsidP="000078B1">
                    <w:pPr>
                      <w:spacing w:after="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0078B1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EFF597" w14:textId="75E8B409" w:rsidR="000078B1" w:rsidRDefault="000078B1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7B4FB800" wp14:editId="2047B24F">
              <wp:simplePos x="914400" y="10074303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35280"/>
              <wp:effectExtent l="0" t="0" r="9525" b="0"/>
              <wp:wrapNone/>
              <wp:docPr id="1333722644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352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7192B32" w14:textId="2B9AECAA" w:rsidR="000078B1" w:rsidRPr="000078B1" w:rsidRDefault="000078B1" w:rsidP="000078B1">
                          <w:pPr>
                            <w:spacing w:after="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0078B1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B4FB80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0;width:164.25pt;height:26.4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" filled="f" stroked="f">
              <v:textbox style="mso-fit-shape-to-text:t" inset="20pt,0,0,15pt">
                <w:txbxContent>
                  <w:p w14:paraId="47192B32" w14:textId="2B9AECAA" w:rsidR="000078B1" w:rsidRPr="000078B1" w:rsidRDefault="000078B1" w:rsidP="000078B1">
                    <w:pPr>
                      <w:spacing w:after="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0078B1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3EDCFA" w14:textId="387B5214" w:rsidR="000078B1" w:rsidRDefault="000078B1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6E08A92C" wp14:editId="24ABFB7C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35280"/>
              <wp:effectExtent l="0" t="0" r="9525" b="0"/>
              <wp:wrapNone/>
              <wp:docPr id="773264819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352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A2EC36B" w14:textId="6F0BE384" w:rsidR="000078B1" w:rsidRPr="000078B1" w:rsidRDefault="000078B1" w:rsidP="000078B1">
                          <w:pPr>
                            <w:spacing w:after="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0078B1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E08A92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164.25pt;height:26.4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" filled="f" stroked="f">
              <v:textbox style="mso-fit-shape-to-text:t" inset="20pt,0,0,15pt">
                <w:txbxContent>
                  <w:p w14:paraId="7A2EC36B" w14:textId="6F0BE384" w:rsidR="000078B1" w:rsidRPr="000078B1" w:rsidRDefault="000078B1" w:rsidP="000078B1">
                    <w:pPr>
                      <w:spacing w:after="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0078B1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A03937" w14:textId="77777777" w:rsidR="00157980" w:rsidRDefault="00157980" w:rsidP="00EC62DF">
      <w:pPr>
        <w:spacing w:after="0" w:line="240" w:lineRule="auto"/>
      </w:pPr>
      <w:r>
        <w:separator/>
      </w:r>
    </w:p>
  </w:footnote>
  <w:footnote w:type="continuationSeparator" w:id="0">
    <w:p w14:paraId="30888A5D" w14:textId="77777777" w:rsidR="00157980" w:rsidRDefault="00157980" w:rsidP="00EC62D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76DF2"/>
    <w:rsid w:val="00003081"/>
    <w:rsid w:val="00004F7D"/>
    <w:rsid w:val="000078B1"/>
    <w:rsid w:val="0001157B"/>
    <w:rsid w:val="00044FC2"/>
    <w:rsid w:val="0004540A"/>
    <w:rsid w:val="0005452B"/>
    <w:rsid w:val="00054D62"/>
    <w:rsid w:val="000555C4"/>
    <w:rsid w:val="0005627C"/>
    <w:rsid w:val="000655E8"/>
    <w:rsid w:val="000667FB"/>
    <w:rsid w:val="000717A8"/>
    <w:rsid w:val="00084A44"/>
    <w:rsid w:val="000A2BD1"/>
    <w:rsid w:val="000A658E"/>
    <w:rsid w:val="000C3DDD"/>
    <w:rsid w:val="000C6DCD"/>
    <w:rsid w:val="000F0C72"/>
    <w:rsid w:val="000F231F"/>
    <w:rsid w:val="000F5789"/>
    <w:rsid w:val="00103645"/>
    <w:rsid w:val="00110C5B"/>
    <w:rsid w:val="00115227"/>
    <w:rsid w:val="00122D06"/>
    <w:rsid w:val="00133631"/>
    <w:rsid w:val="001356C0"/>
    <w:rsid w:val="00137F60"/>
    <w:rsid w:val="00146745"/>
    <w:rsid w:val="00157980"/>
    <w:rsid w:val="001802B6"/>
    <w:rsid w:val="001922AA"/>
    <w:rsid w:val="001D2D71"/>
    <w:rsid w:val="001D5F8C"/>
    <w:rsid w:val="002604B0"/>
    <w:rsid w:val="00283233"/>
    <w:rsid w:val="00285430"/>
    <w:rsid w:val="0029440B"/>
    <w:rsid w:val="002B6510"/>
    <w:rsid w:val="002B7774"/>
    <w:rsid w:val="002D4D4C"/>
    <w:rsid w:val="002E257B"/>
    <w:rsid w:val="002F3D32"/>
    <w:rsid w:val="003118F7"/>
    <w:rsid w:val="003178DA"/>
    <w:rsid w:val="00333A83"/>
    <w:rsid w:val="00362A20"/>
    <w:rsid w:val="003634BE"/>
    <w:rsid w:val="00387B7F"/>
    <w:rsid w:val="003B606E"/>
    <w:rsid w:val="003D3BFC"/>
    <w:rsid w:val="004075F1"/>
    <w:rsid w:val="0044024F"/>
    <w:rsid w:val="004457FB"/>
    <w:rsid w:val="00462060"/>
    <w:rsid w:val="00470922"/>
    <w:rsid w:val="00476DF2"/>
    <w:rsid w:val="0049181E"/>
    <w:rsid w:val="00497F6A"/>
    <w:rsid w:val="004B3E40"/>
    <w:rsid w:val="004B5E24"/>
    <w:rsid w:val="004D52F9"/>
    <w:rsid w:val="004F6E15"/>
    <w:rsid w:val="00510633"/>
    <w:rsid w:val="005136B6"/>
    <w:rsid w:val="005210E3"/>
    <w:rsid w:val="00526207"/>
    <w:rsid w:val="00526F41"/>
    <w:rsid w:val="00533193"/>
    <w:rsid w:val="00553C35"/>
    <w:rsid w:val="005A0D44"/>
    <w:rsid w:val="005C0546"/>
    <w:rsid w:val="005C4A77"/>
    <w:rsid w:val="005D7B55"/>
    <w:rsid w:val="005E70DD"/>
    <w:rsid w:val="005F713D"/>
    <w:rsid w:val="00616FAD"/>
    <w:rsid w:val="006244FD"/>
    <w:rsid w:val="00645AE1"/>
    <w:rsid w:val="0064795C"/>
    <w:rsid w:val="00647F45"/>
    <w:rsid w:val="00660AAC"/>
    <w:rsid w:val="00667247"/>
    <w:rsid w:val="00671BF9"/>
    <w:rsid w:val="0067287E"/>
    <w:rsid w:val="00691B04"/>
    <w:rsid w:val="006A135A"/>
    <w:rsid w:val="006C0D3D"/>
    <w:rsid w:val="006C110B"/>
    <w:rsid w:val="006C2AC1"/>
    <w:rsid w:val="006C5946"/>
    <w:rsid w:val="006D5F89"/>
    <w:rsid w:val="006E1CAA"/>
    <w:rsid w:val="006E5965"/>
    <w:rsid w:val="006F3641"/>
    <w:rsid w:val="006F495E"/>
    <w:rsid w:val="0072666E"/>
    <w:rsid w:val="007632BF"/>
    <w:rsid w:val="007701C5"/>
    <w:rsid w:val="007715E8"/>
    <w:rsid w:val="007846D1"/>
    <w:rsid w:val="00796F41"/>
    <w:rsid w:val="007A5BF0"/>
    <w:rsid w:val="007B1C6B"/>
    <w:rsid w:val="007C344A"/>
    <w:rsid w:val="007C6B44"/>
    <w:rsid w:val="007F1542"/>
    <w:rsid w:val="007F1B99"/>
    <w:rsid w:val="00805BFF"/>
    <w:rsid w:val="008069C5"/>
    <w:rsid w:val="008146D6"/>
    <w:rsid w:val="00814CB7"/>
    <w:rsid w:val="00822EB5"/>
    <w:rsid w:val="00837FBF"/>
    <w:rsid w:val="0085289F"/>
    <w:rsid w:val="00866A37"/>
    <w:rsid w:val="00887E24"/>
    <w:rsid w:val="008B57C2"/>
    <w:rsid w:val="008C23A2"/>
    <w:rsid w:val="008D30BB"/>
    <w:rsid w:val="008D5465"/>
    <w:rsid w:val="008E3EC9"/>
    <w:rsid w:val="008E4B24"/>
    <w:rsid w:val="008F1E04"/>
    <w:rsid w:val="00907407"/>
    <w:rsid w:val="00917140"/>
    <w:rsid w:val="009305A8"/>
    <w:rsid w:val="00931C96"/>
    <w:rsid w:val="009468BB"/>
    <w:rsid w:val="00956EC6"/>
    <w:rsid w:val="00964D33"/>
    <w:rsid w:val="009B34B9"/>
    <w:rsid w:val="009B6A55"/>
    <w:rsid w:val="009C107B"/>
    <w:rsid w:val="009C53BC"/>
    <w:rsid w:val="009C67C9"/>
    <w:rsid w:val="009F7F73"/>
    <w:rsid w:val="00A00AF5"/>
    <w:rsid w:val="00A05E78"/>
    <w:rsid w:val="00A13D3A"/>
    <w:rsid w:val="00AA19FE"/>
    <w:rsid w:val="00AB0165"/>
    <w:rsid w:val="00AB66CF"/>
    <w:rsid w:val="00AB6DC7"/>
    <w:rsid w:val="00AC1EAA"/>
    <w:rsid w:val="00AE38BF"/>
    <w:rsid w:val="00AE7148"/>
    <w:rsid w:val="00AF25DA"/>
    <w:rsid w:val="00AF3648"/>
    <w:rsid w:val="00AF4362"/>
    <w:rsid w:val="00AF78E5"/>
    <w:rsid w:val="00B160FD"/>
    <w:rsid w:val="00B220B9"/>
    <w:rsid w:val="00B22AB3"/>
    <w:rsid w:val="00B3413E"/>
    <w:rsid w:val="00B506E7"/>
    <w:rsid w:val="00B52235"/>
    <w:rsid w:val="00B5370D"/>
    <w:rsid w:val="00B823D6"/>
    <w:rsid w:val="00B84064"/>
    <w:rsid w:val="00B91E62"/>
    <w:rsid w:val="00BA2E8C"/>
    <w:rsid w:val="00BB58D8"/>
    <w:rsid w:val="00BC1F5D"/>
    <w:rsid w:val="00BC5090"/>
    <w:rsid w:val="00BD1D87"/>
    <w:rsid w:val="00BD5A1A"/>
    <w:rsid w:val="00BE6922"/>
    <w:rsid w:val="00BF6510"/>
    <w:rsid w:val="00C44D33"/>
    <w:rsid w:val="00C52DBA"/>
    <w:rsid w:val="00C73DD0"/>
    <w:rsid w:val="00C81C6F"/>
    <w:rsid w:val="00CA2578"/>
    <w:rsid w:val="00CB163C"/>
    <w:rsid w:val="00D15B0A"/>
    <w:rsid w:val="00D22626"/>
    <w:rsid w:val="00D22DF0"/>
    <w:rsid w:val="00D25140"/>
    <w:rsid w:val="00D41666"/>
    <w:rsid w:val="00D52192"/>
    <w:rsid w:val="00D82498"/>
    <w:rsid w:val="00D8271A"/>
    <w:rsid w:val="00D864E6"/>
    <w:rsid w:val="00D86DAC"/>
    <w:rsid w:val="00D907B2"/>
    <w:rsid w:val="00D96FDC"/>
    <w:rsid w:val="00DA0A7D"/>
    <w:rsid w:val="00DB28B1"/>
    <w:rsid w:val="00DB45F4"/>
    <w:rsid w:val="00DC4E78"/>
    <w:rsid w:val="00DD2BCE"/>
    <w:rsid w:val="00DE1B5C"/>
    <w:rsid w:val="00DE42E7"/>
    <w:rsid w:val="00DE5F58"/>
    <w:rsid w:val="00E02245"/>
    <w:rsid w:val="00E11E18"/>
    <w:rsid w:val="00E14C66"/>
    <w:rsid w:val="00E35899"/>
    <w:rsid w:val="00E40ECB"/>
    <w:rsid w:val="00E50CB7"/>
    <w:rsid w:val="00E62DAF"/>
    <w:rsid w:val="00E67524"/>
    <w:rsid w:val="00E81D03"/>
    <w:rsid w:val="00E8487C"/>
    <w:rsid w:val="00EB5606"/>
    <w:rsid w:val="00EC62DF"/>
    <w:rsid w:val="00EE0DE9"/>
    <w:rsid w:val="00EF0F1A"/>
    <w:rsid w:val="00EF360C"/>
    <w:rsid w:val="00F061C3"/>
    <w:rsid w:val="00F14A6F"/>
    <w:rsid w:val="00F236AC"/>
    <w:rsid w:val="00F30E36"/>
    <w:rsid w:val="00F76EEB"/>
    <w:rsid w:val="00FA0AF7"/>
    <w:rsid w:val="00FD0B0E"/>
    <w:rsid w:val="31CE47E0"/>
    <w:rsid w:val="44A9F6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8D22F1"/>
  <w14:defaultImageDpi w14:val="150"/>
  <w15:chartTrackingRefBased/>
  <w15:docId w15:val="{E8D67C12-F32B-47CB-B130-CA77998600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236AC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C62D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C62DF"/>
    <w:rPr>
      <w:lang w:val="en-GB"/>
    </w:rPr>
  </w:style>
  <w:style w:type="paragraph" w:styleId="Footer">
    <w:name w:val="footer"/>
    <w:basedOn w:val="Normal"/>
    <w:link w:val="FooterChar"/>
    <w:uiPriority w:val="99"/>
    <w:unhideWhenUsed/>
    <w:rsid w:val="00EC62D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C62DF"/>
    <w:rPr>
      <w:lang w:val="en-GB"/>
    </w:rPr>
  </w:style>
  <w:style w:type="paragraph" w:styleId="Revision">
    <w:name w:val="Revision"/>
    <w:hidden/>
    <w:uiPriority w:val="99"/>
    <w:semiHidden/>
    <w:rsid w:val="00C81C6F"/>
    <w:pPr>
      <w:spacing w:after="0" w:line="240" w:lineRule="auto"/>
    </w:pPr>
    <w:rPr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5F713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sz w:val="20"/>
      <w:szCs w:val="20"/>
      <w:lang w:val="en-GB"/>
    </w:rPr>
  </w:style>
  <w:style w:type="character" w:styleId="LineNumber">
    <w:name w:val="line number"/>
    <w:basedOn w:val="DefaultParagraphFont"/>
    <w:uiPriority w:val="99"/>
    <w:semiHidden/>
    <w:unhideWhenUsed/>
    <w:rsid w:val="008E4B24"/>
  </w:style>
  <w:style w:type="character" w:styleId="Hyperlink">
    <w:name w:val="Hyperlink"/>
    <w:basedOn w:val="DefaultParagraphFont"/>
    <w:uiPriority w:val="99"/>
    <w:unhideWhenUsed/>
    <w:rsid w:val="000717A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717A8"/>
    <w:rPr>
      <w:color w:val="605E5C"/>
      <w:shd w:val="clear" w:color="auto" w:fill="E1DFDD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05A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05A8"/>
    <w:rPr>
      <w:b/>
      <w:bCs/>
      <w:sz w:val="20"/>
      <w:szCs w:val="20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EF0F1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9770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2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image" Target="media/image7.emf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oleObject" Target="embeddings/oleObject5.bin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pn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footer" Target="footer3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footer" Target="footer2.xml"/><Relationship Id="rId10" Type="http://schemas.openxmlformats.org/officeDocument/2006/relationships/oleObject" Target="embeddings/oleObject1.bin"/><Relationship Id="rId19" Type="http://schemas.openxmlformats.org/officeDocument/2006/relationships/oleObject" Target="embeddings/oleObject4.bin"/><Relationship Id="rId4" Type="http://schemas.openxmlformats.org/officeDocument/2006/relationships/styles" Target="style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a8a1cfa-d6b3-41f1-bce5-115a192eb2bc">
      <Terms xmlns="http://schemas.microsoft.com/office/infopath/2007/PartnerControls"/>
    </lcf76f155ced4ddcb4097134ff3c332f>
    <TaxCatchAll xmlns="07a9b4f4-1390-4e6c-ae78-eab5a0ebea36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42A62811B23F449A9BBB051487355C0" ma:contentTypeVersion="17" ma:contentTypeDescription="Create a new document." ma:contentTypeScope="" ma:versionID="39391fc20595154e90121dac4a7f4fbb">
  <xsd:schema xmlns:xsd="http://www.w3.org/2001/XMLSchema" xmlns:xs="http://www.w3.org/2001/XMLSchema" xmlns:p="http://schemas.microsoft.com/office/2006/metadata/properties" xmlns:ns2="7a8a1cfa-d6b3-41f1-bce5-115a192eb2bc" xmlns:ns3="07a9b4f4-1390-4e6c-ae78-eab5a0ebea36" targetNamespace="http://schemas.microsoft.com/office/2006/metadata/properties" ma:root="true" ma:fieldsID="fb7938a4cbfbfefa066bd52f1550eb0d" ns2:_="" ns3:_="">
    <xsd:import namespace="7a8a1cfa-d6b3-41f1-bce5-115a192eb2bc"/>
    <xsd:import namespace="07a9b4f4-1390-4e6c-ae78-eab5a0ebea3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a8a1cfa-d6b3-41f1-bce5-115a192eb2b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d0509728-31c9-4ac3-934d-712f3fb036c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7a9b4f4-1390-4e6c-ae78-eab5a0ebea36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b044f5f8-86de-4208-83b7-f8622ef9f64c}" ma:internalName="TaxCatchAll" ma:showField="CatchAllData" ma:web="07a9b4f4-1390-4e6c-ae78-eab5a0ebea3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EDB8016-2C18-4032-867C-4C5A9C0EA95E}">
  <ds:schemaRefs>
    <ds:schemaRef ds:uri="http://schemas.microsoft.com/office/2006/metadata/properties"/>
    <ds:schemaRef ds:uri="http://schemas.microsoft.com/office/infopath/2007/PartnerControls"/>
    <ds:schemaRef ds:uri="7a8a1cfa-d6b3-41f1-bce5-115a192eb2bc"/>
    <ds:schemaRef ds:uri="07a9b4f4-1390-4e6c-ae78-eab5a0ebea36"/>
  </ds:schemaRefs>
</ds:datastoreItem>
</file>

<file path=customXml/itemProps2.xml><?xml version="1.0" encoding="utf-8"?>
<ds:datastoreItem xmlns:ds="http://schemas.openxmlformats.org/officeDocument/2006/customXml" ds:itemID="{E734AF76-9C48-45CB-9400-3A77D5A2134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a8a1cfa-d6b3-41f1-bce5-115a192eb2bc"/>
    <ds:schemaRef ds:uri="07a9b4f4-1390-4e6c-ae78-eab5a0ebea3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D94777C-39F9-479C-AC34-0A94610E793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5</Pages>
  <Words>714</Words>
  <Characters>4074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Sorushanova, Anna</dc:creator>
  <cp:keywords/>
  <dc:description/>
  <cp:lastModifiedBy>Thadani, Lavina</cp:lastModifiedBy>
  <cp:revision>7</cp:revision>
  <cp:lastPrinted>2024-10-18T17:03:00Z</cp:lastPrinted>
  <dcterms:created xsi:type="dcterms:W3CDTF">2025-05-09T00:46:00Z</dcterms:created>
  <dcterms:modified xsi:type="dcterms:W3CDTF">2025-05-22T19:11:00Z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0x010100C42A62811B23F449A9BBB051487355C0</vt:lpwstr>
  </property>
  <property fmtid="{D5CDD505-2E9C-101B-9397-08002B2CF9AE}" pid="3" name="MediaServiceImageTags">
    <vt:lpwstr/>
  </property>
  <property fmtid="{D5CDD505-2E9C-101B-9397-08002B2CF9AE}" pid="4" name="ClassificationContentMarkingFooterShapeIds">
    <vt:lpwstr>2e1715b3,20b1a99c,4f7efe14</vt:lpwstr>
  </property>
  <property fmtid="{D5CDD505-2E9C-101B-9397-08002B2CF9AE}" pid="5" name="ClassificationContentMarkingFooterFontProps">
    <vt:lpwstr>#0078d7,9,Rockwell</vt:lpwstr>
  </property>
  <property fmtid="{D5CDD505-2E9C-101B-9397-08002B2CF9AE}" pid="6" name="ClassificationContentMarkingFooterText">
    <vt:lpwstr>Information Classification: General</vt:lpwstr>
  </property>
  <property fmtid="{D5CDD505-2E9C-101B-9397-08002B2CF9AE}" pid="7" name="MSIP_Label_2bbab825-a111-45e4-86a1-18cee0005896_Enabled">
    <vt:lpwstr>true</vt:lpwstr>
  </property>
  <property fmtid="{D5CDD505-2E9C-101B-9397-08002B2CF9AE}" pid="8" name="MSIP_Label_2bbab825-a111-45e4-86a1-18cee0005896_SetDate">
    <vt:lpwstr>2025-05-09T00:46:20Z</vt:lpwstr>
  </property>
  <property fmtid="{D5CDD505-2E9C-101B-9397-08002B2CF9AE}" pid="9" name="MSIP_Label_2bbab825-a111-45e4-86a1-18cee0005896_Method">
    <vt:lpwstr>Standard</vt:lpwstr>
  </property>
  <property fmtid="{D5CDD505-2E9C-101B-9397-08002B2CF9AE}" pid="10" name="MSIP_Label_2bbab825-a111-45e4-86a1-18cee0005896_Name">
    <vt:lpwstr>2bbab825-a111-45e4-86a1-18cee0005896</vt:lpwstr>
  </property>
  <property fmtid="{D5CDD505-2E9C-101B-9397-08002B2CF9AE}" pid="11" name="MSIP_Label_2bbab825-a111-45e4-86a1-18cee0005896_SiteId">
    <vt:lpwstr>2567d566-604c-408a-8a60-55d0dc9d9d6b</vt:lpwstr>
  </property>
  <property fmtid="{D5CDD505-2E9C-101B-9397-08002B2CF9AE}" pid="12" name="MSIP_Label_2bbab825-a111-45e4-86a1-18cee0005896_ActionId">
    <vt:lpwstr>1eab4659-61d0-4cd1-9f35-41f745744fb4</vt:lpwstr>
  </property>
  <property fmtid="{D5CDD505-2E9C-101B-9397-08002B2CF9AE}" pid="13" name="MSIP_Label_2bbab825-a111-45e4-86a1-18cee0005896_ContentBits">
    <vt:lpwstr>2</vt:lpwstr>
  </property>
  <property fmtid="{D5CDD505-2E9C-101B-9397-08002B2CF9AE}" pid="14" name="MSIP_Label_2bbab825-a111-45e4-86a1-18cee0005896_Tag">
    <vt:lpwstr>10, 3, 0, 1</vt:lpwstr>
  </property>
</Properties>
</file>