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DC96" w14:textId="77777777" w:rsidR="00F51991" w:rsidRPr="003E3324" w:rsidRDefault="003E3324">
      <w:pPr>
        <w:pStyle w:val="Heading3"/>
        <w:widowControl/>
        <w:spacing w:line="15" w:lineRule="atLeast"/>
        <w:rPr>
          <w:rFonts w:ascii="Times New Roman" w:eastAsia="Segoe UI" w:hAnsi="Times New Roman" w:hint="default"/>
          <w:color w:val="000000"/>
          <w:sz w:val="24"/>
          <w:szCs w:val="24"/>
        </w:rPr>
      </w:pPr>
      <w:r w:rsidRPr="003E3324">
        <w:rPr>
          <w:rStyle w:val="Strong"/>
          <w:rFonts w:ascii="Times New Roman" w:eastAsia="Segoe UI" w:hAnsi="Times New Roman" w:hint="default"/>
          <w:b/>
          <w:color w:val="000000"/>
          <w:sz w:val="24"/>
          <w:szCs w:val="24"/>
        </w:rPr>
        <w:t xml:space="preserve">Table </w:t>
      </w:r>
      <w:r w:rsidRPr="003E3324">
        <w:rPr>
          <w:rStyle w:val="Strong"/>
          <w:rFonts w:ascii="Times New Roman" w:hAnsi="Times New Roman" w:hint="default"/>
          <w:b/>
          <w:color w:val="000000"/>
          <w:sz w:val="24"/>
          <w:szCs w:val="24"/>
        </w:rPr>
        <w:t>S1</w:t>
      </w:r>
      <w:r w:rsidRPr="003E3324">
        <w:rPr>
          <w:rStyle w:val="Strong"/>
          <w:rFonts w:ascii="Times New Roman" w:eastAsia="Segoe UI" w:hAnsi="Times New Roman" w:hint="default"/>
          <w:b/>
          <w:color w:val="000000"/>
          <w:sz w:val="24"/>
          <w:szCs w:val="24"/>
        </w:rPr>
        <w:t xml:space="preserve">. </w:t>
      </w:r>
      <w:r w:rsidRPr="003E3324">
        <w:rPr>
          <w:rStyle w:val="Strong"/>
          <w:rFonts w:ascii="Times New Roman" w:eastAsia="Segoe UI" w:hAnsi="Times New Roman" w:hint="default"/>
          <w:bCs w:val="0"/>
          <w:color w:val="000000"/>
          <w:sz w:val="24"/>
          <w:szCs w:val="24"/>
        </w:rPr>
        <w:t>Quality Assessment of Cohort Studies Using the</w:t>
      </w:r>
      <w:r w:rsidRPr="003E3324">
        <w:rPr>
          <w:rStyle w:val="Strong"/>
          <w:rFonts w:ascii="Times New Roman" w:hAnsi="Times New Roman" w:hint="default"/>
          <w:bCs w:val="0"/>
          <w:color w:val="000000"/>
          <w:sz w:val="24"/>
          <w:szCs w:val="24"/>
        </w:rPr>
        <w:t xml:space="preserve"> </w:t>
      </w:r>
      <w:r w:rsidRPr="003E3324">
        <w:rPr>
          <w:rStyle w:val="Strong"/>
          <w:rFonts w:ascii="Times New Roman" w:eastAsia="Segoe UI" w:hAnsi="Times New Roman" w:hint="default"/>
          <w:bCs w:val="0"/>
          <w:color w:val="000000"/>
          <w:sz w:val="24"/>
          <w:szCs w:val="24"/>
        </w:rPr>
        <w:t>Newcastle-Ottawa Scale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1954"/>
        <w:gridCol w:w="4355"/>
        <w:gridCol w:w="1072"/>
      </w:tblGrid>
      <w:tr w:rsidR="00F51991" w:rsidRPr="003E3324" w14:paraId="477659CF" w14:textId="77777777">
        <w:trPr>
          <w:tblHeader/>
        </w:trPr>
        <w:tc>
          <w:tcPr>
            <w:tcW w:w="940" w:type="dxa"/>
            <w:tcBorders>
              <w:top w:val="single" w:sz="12" w:space="0" w:color="000000"/>
              <w:bottom w:val="single" w:sz="4" w:space="0" w:color="000000"/>
              <w:tl2br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9FBB2D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Domain</w:t>
            </w:r>
          </w:p>
        </w:tc>
        <w:tc>
          <w:tcPr>
            <w:tcW w:w="195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DD5F2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Item</w:t>
            </w:r>
          </w:p>
        </w:tc>
        <w:tc>
          <w:tcPr>
            <w:tcW w:w="435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9BC2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Assessment Criteria</w:t>
            </w: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[6]</w:t>
            </w:r>
          </w:p>
        </w:tc>
        <w:tc>
          <w:tcPr>
            <w:tcW w:w="107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EBAF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Stars Allocated</w:t>
            </w:r>
          </w:p>
        </w:tc>
      </w:tr>
      <w:tr w:rsidR="00F51991" w:rsidRPr="003E3324" w14:paraId="43E93D7B" w14:textId="77777777">
        <w:tc>
          <w:tcPr>
            <w:tcW w:w="940" w:type="dxa"/>
            <w:tcBorders>
              <w:top w:val="single" w:sz="4" w:space="0" w:color="000000"/>
            </w:tcBorders>
            <w:shd w:val="clear" w:color="auto" w:fill="FFFFFF"/>
            <w:tcMar>
              <w:left w:w="0" w:type="dxa"/>
            </w:tcMar>
            <w:vAlign w:val="center"/>
          </w:tcPr>
          <w:p w14:paraId="1818479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Style w:val="Strong"/>
                <w:rFonts w:ascii="Times New Roman" w:eastAsia="Segoe UI" w:hAnsi="Times New Roman" w:cs="Times New Roman"/>
                <w:b w:val="0"/>
                <w:color w:val="000000"/>
                <w:kern w:val="0"/>
                <w:sz w:val="16"/>
                <w:szCs w:val="16"/>
                <w:lang w:bidi="ar"/>
              </w:rPr>
              <w:t>Selection</w:t>
            </w:r>
          </w:p>
        </w:tc>
        <w:tc>
          <w:tcPr>
            <w:tcW w:w="195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4BFCE1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 Representativeness of the Exposed Cohort</w:t>
            </w:r>
          </w:p>
        </w:tc>
        <w:tc>
          <w:tcPr>
            <w:tcW w:w="435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812AE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① Truly represents the characteristics of the exposed group in the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population*; ② Represents the characteristics of the exposed group in the population to a certain extent*; ③ Selects certain types of populations, such as nurses, volunteers; ④ No description of the source of the exposed group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B213FE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★</w:t>
            </w:r>
          </w:p>
        </w:tc>
      </w:tr>
      <w:tr w:rsidR="00F51991" w:rsidRPr="003E3324" w14:paraId="7C8E1BA1" w14:textId="77777777">
        <w:tc>
          <w:tcPr>
            <w:tcW w:w="940" w:type="dxa"/>
            <w:shd w:val="clear" w:color="auto" w:fill="FFFFFF"/>
            <w:tcMar>
              <w:left w:w="0" w:type="dxa"/>
            </w:tcMar>
            <w:vAlign w:val="center"/>
          </w:tcPr>
          <w:p w14:paraId="39B44405" w14:textId="77777777" w:rsidR="00F51991" w:rsidRPr="003E3324" w:rsidRDefault="00F51991">
            <w:pPr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14:paraId="161E6C4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 Selection of the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Non-Exposed Cohort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12FA765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① Comes from the same population as the exposed group*; ② Comes from a different population from the exposed group; ③ No description of the source of the non-exposed group</w:t>
            </w:r>
          </w:p>
        </w:tc>
        <w:tc>
          <w:tcPr>
            <w:tcW w:w="1072" w:type="dxa"/>
            <w:shd w:val="clear" w:color="auto" w:fill="FFFFFF"/>
            <w:vAlign w:val="center"/>
          </w:tcPr>
          <w:p w14:paraId="143748A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★</w:t>
            </w:r>
          </w:p>
        </w:tc>
      </w:tr>
      <w:tr w:rsidR="00F51991" w:rsidRPr="003E3324" w14:paraId="2A62EDE9" w14:textId="77777777">
        <w:tc>
          <w:tcPr>
            <w:tcW w:w="940" w:type="dxa"/>
            <w:shd w:val="clear" w:color="auto" w:fill="FFFFFF"/>
            <w:tcMar>
              <w:left w:w="0" w:type="dxa"/>
            </w:tcMar>
            <w:vAlign w:val="center"/>
          </w:tcPr>
          <w:p w14:paraId="4B54A808" w14:textId="77777777" w:rsidR="00F51991" w:rsidRPr="003E3324" w:rsidRDefault="00F51991">
            <w:pPr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14:paraId="7B9F3AA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3. Ascertainment of Exposure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1200671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① Fixed file records (such as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surgical records)*; ② Uses structured interviews*; ③ Reports written by the research subjects themselves; ④ No description</w:t>
            </w:r>
          </w:p>
        </w:tc>
        <w:tc>
          <w:tcPr>
            <w:tcW w:w="1072" w:type="dxa"/>
            <w:shd w:val="clear" w:color="auto" w:fill="FFFFFF"/>
            <w:vAlign w:val="center"/>
          </w:tcPr>
          <w:p w14:paraId="725F61E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★</w:t>
            </w:r>
          </w:p>
        </w:tc>
      </w:tr>
      <w:tr w:rsidR="00F51991" w:rsidRPr="003E3324" w14:paraId="6444BE28" w14:textId="77777777">
        <w:tc>
          <w:tcPr>
            <w:tcW w:w="940" w:type="dxa"/>
            <w:shd w:val="clear" w:color="auto" w:fill="FFFFFF"/>
            <w:tcMar>
              <w:left w:w="0" w:type="dxa"/>
            </w:tcMar>
            <w:vAlign w:val="center"/>
          </w:tcPr>
          <w:p w14:paraId="706F052A" w14:textId="77777777" w:rsidR="00F51991" w:rsidRPr="003E3324" w:rsidRDefault="00F51991">
            <w:pPr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14:paraId="33F626C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 Demonstration That Outcome of Interest Was Not Present at Start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79E8565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① Yes*; ② No</w:t>
            </w:r>
          </w:p>
        </w:tc>
        <w:tc>
          <w:tcPr>
            <w:tcW w:w="1072" w:type="dxa"/>
            <w:shd w:val="clear" w:color="auto" w:fill="FFFFFF"/>
            <w:vAlign w:val="center"/>
          </w:tcPr>
          <w:p w14:paraId="288A3E6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★</w:t>
            </w:r>
          </w:p>
        </w:tc>
      </w:tr>
      <w:tr w:rsidR="00F51991" w:rsidRPr="003E3324" w14:paraId="71D0FBE8" w14:textId="77777777">
        <w:tc>
          <w:tcPr>
            <w:tcW w:w="940" w:type="dxa"/>
            <w:shd w:val="clear" w:color="auto" w:fill="FFFFFF"/>
            <w:tcMar>
              <w:left w:w="0" w:type="dxa"/>
            </w:tcMar>
            <w:vAlign w:val="center"/>
          </w:tcPr>
          <w:p w14:paraId="26D25CD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Style w:val="Strong"/>
                <w:rFonts w:ascii="Times New Roman" w:eastAsia="Segoe UI" w:hAnsi="Times New Roman" w:cs="Times New Roman"/>
                <w:b w:val="0"/>
                <w:color w:val="000000"/>
                <w:kern w:val="0"/>
                <w:sz w:val="16"/>
                <w:szCs w:val="16"/>
                <w:lang w:bidi="ar"/>
              </w:rPr>
              <w:t>Comparability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41B7147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 Comparability of Cohorts on the Basis of the Design or Analysis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0CE7B9A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① The study controls the most important confounding factors*; ② The study controls any other confounding factors* (this item can be revised to explain the control of the second most important factor)</w:t>
            </w:r>
          </w:p>
        </w:tc>
        <w:tc>
          <w:tcPr>
            <w:tcW w:w="1072" w:type="dxa"/>
            <w:shd w:val="clear" w:color="auto" w:fill="FFFFFF"/>
            <w:vAlign w:val="center"/>
          </w:tcPr>
          <w:p w14:paraId="6402F84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★★</w:t>
            </w:r>
          </w:p>
        </w:tc>
      </w:tr>
      <w:tr w:rsidR="00F51991" w:rsidRPr="003E3324" w14:paraId="341B373E" w14:textId="77777777">
        <w:tc>
          <w:tcPr>
            <w:tcW w:w="940" w:type="dxa"/>
            <w:shd w:val="clear" w:color="auto" w:fill="FFFFFF"/>
            <w:tcMar>
              <w:left w:w="0" w:type="dxa"/>
            </w:tcMar>
            <w:vAlign w:val="center"/>
          </w:tcPr>
          <w:p w14:paraId="0B799C3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Style w:val="Strong"/>
                <w:rFonts w:ascii="Times New Roman" w:eastAsia="Segoe UI" w:hAnsi="Times New Roman" w:cs="Times New Roman"/>
                <w:b w:val="0"/>
                <w:color w:val="000000"/>
                <w:kern w:val="0"/>
                <w:sz w:val="16"/>
                <w:szCs w:val="16"/>
                <w:lang w:bidi="ar"/>
              </w:rPr>
              <w:t>Outcome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0FDCBC3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Assessment of Outcome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0613EA1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① Blind independent evaluation*; ② There are file records*; ③ Self-report; ④ No description</w:t>
            </w:r>
          </w:p>
        </w:tc>
        <w:tc>
          <w:tcPr>
            <w:tcW w:w="1072" w:type="dxa"/>
            <w:shd w:val="clear" w:color="auto" w:fill="FFFFFF"/>
            <w:vAlign w:val="center"/>
          </w:tcPr>
          <w:p w14:paraId="7FF9FC7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★</w:t>
            </w:r>
          </w:p>
        </w:tc>
      </w:tr>
      <w:tr w:rsidR="00F51991" w:rsidRPr="003E3324" w14:paraId="38B23A84" w14:textId="77777777">
        <w:tc>
          <w:tcPr>
            <w:tcW w:w="940" w:type="dxa"/>
            <w:shd w:val="clear" w:color="auto" w:fill="FFFFFF"/>
            <w:tcMar>
              <w:left w:w="0" w:type="dxa"/>
            </w:tcMar>
            <w:vAlign w:val="center"/>
          </w:tcPr>
          <w:p w14:paraId="3E5BCEFF" w14:textId="77777777" w:rsidR="00F51991" w:rsidRPr="003E3324" w:rsidRDefault="00F51991">
            <w:pPr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14:paraId="106C288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2. Was Follow-Up Long Enough for Outcomes to Occur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03A4BE6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① Yes (prescribing an appropriate follow-up time before evaluation)*; ② No</w:t>
            </w:r>
          </w:p>
        </w:tc>
        <w:tc>
          <w:tcPr>
            <w:tcW w:w="1072" w:type="dxa"/>
            <w:shd w:val="clear" w:color="auto" w:fill="FFFFFF"/>
            <w:vAlign w:val="center"/>
          </w:tcPr>
          <w:p w14:paraId="036E17A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★</w:t>
            </w:r>
          </w:p>
        </w:tc>
      </w:tr>
      <w:tr w:rsidR="00F51991" w:rsidRPr="003E3324" w14:paraId="394A13DF" w14:textId="77777777">
        <w:tc>
          <w:tcPr>
            <w:tcW w:w="940" w:type="dxa"/>
            <w:tcBorders>
              <w:bottom w:val="single" w:sz="12" w:space="0" w:color="000000"/>
            </w:tcBorders>
            <w:shd w:val="clear" w:color="auto" w:fill="FFFFFF"/>
            <w:tcMar>
              <w:left w:w="0" w:type="dxa"/>
            </w:tcMar>
            <w:vAlign w:val="center"/>
          </w:tcPr>
          <w:p w14:paraId="0ACE41AD" w14:textId="77777777" w:rsidR="00F51991" w:rsidRPr="003E3324" w:rsidRDefault="00F51991">
            <w:pPr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721E672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3. Adequacy of Follow-Up of Cohorts</w:t>
            </w:r>
          </w:p>
        </w:tc>
        <w:tc>
          <w:tcPr>
            <w:tcW w:w="435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69BF5D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① Complete follow-up*; ② A small number of research subjects are lost to follow-up but not enough to introduce bias (prescribing the loss-to-follow-up rate or describing the loss-to-follow-up situation)*; ③ There is loss to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follow-up (prescribing the loss-to-follow-up rate) but no description; ④ No description of the follow-up situation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3D2D7C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★</w:t>
            </w:r>
          </w:p>
        </w:tc>
      </w:tr>
    </w:tbl>
    <w:p w14:paraId="2BF7455D" w14:textId="77777777" w:rsidR="00F51991" w:rsidRPr="003E3324" w:rsidRDefault="003E3324">
      <w:pPr>
        <w:rPr>
          <w:rStyle w:val="Strong"/>
          <w:rFonts w:ascii="Times New Roman" w:eastAsia="SimSun" w:hAnsi="Times New Roman" w:cs="Times New Roman"/>
          <w:b w:val="0"/>
          <w:bCs/>
          <w:color w:val="000000"/>
          <w:sz w:val="16"/>
          <w:szCs w:val="16"/>
        </w:rPr>
      </w:pPr>
      <w:r w:rsidRPr="003E3324">
        <w:rPr>
          <w:rStyle w:val="Strong"/>
          <w:rFonts w:ascii="Times New Roman" w:eastAsia="SimSun" w:hAnsi="Times New Roman" w:cs="Times New Roman"/>
          <w:b w:val="0"/>
          <w:bCs/>
          <w:color w:val="000000"/>
          <w:sz w:val="16"/>
          <w:szCs w:val="16"/>
        </w:rPr>
        <w:t>Note:</w:t>
      </w:r>
      <w:r w:rsidRPr="003E3324">
        <w:rPr>
          <w:rStyle w:val="Strong"/>
          <w:rFonts w:ascii="Times New Roman" w:eastAsia="SimSun" w:hAnsi="Times New Roman" w:cs="Times New Roman" w:hint="eastAsia"/>
          <w:b w:val="0"/>
          <w:bCs/>
          <w:color w:val="000000"/>
          <w:sz w:val="16"/>
          <w:szCs w:val="16"/>
        </w:rPr>
        <w:t xml:space="preserve"> </w:t>
      </w:r>
      <w:r w:rsidRPr="003E3324">
        <w:rPr>
          <w:rStyle w:val="Strong"/>
          <w:rFonts w:ascii="Times New Roman" w:eastAsia="SimSun" w:hAnsi="Times New Roman" w:cs="Times New Roman"/>
          <w:b w:val="0"/>
          <w:bCs/>
          <w:color w:val="000000"/>
          <w:sz w:val="16"/>
          <w:szCs w:val="16"/>
        </w:rPr>
        <w:t>*: Scoring points</w:t>
      </w:r>
      <w:r w:rsidRPr="003E3324">
        <w:rPr>
          <w:rStyle w:val="Strong"/>
          <w:rFonts w:ascii="Times New Roman" w:eastAsia="SimSun" w:hAnsi="Times New Roman" w:cs="Times New Roman" w:hint="eastAsia"/>
          <w:b w:val="0"/>
          <w:bCs/>
          <w:color w:val="000000"/>
          <w:sz w:val="16"/>
          <w:szCs w:val="16"/>
        </w:rPr>
        <w:t xml:space="preserve">; Total Score: </w:t>
      </w:r>
      <w:r w:rsidRPr="003E3324">
        <w:rPr>
          <w:rStyle w:val="Strong"/>
          <w:rFonts w:ascii="Times New Roman" w:eastAsia="SimSun" w:hAnsi="Times New Roman" w:cs="Times New Roman" w:hint="eastAsia"/>
          <w:b w:val="0"/>
          <w:bCs/>
          <w:color w:val="000000"/>
          <w:sz w:val="16"/>
          <w:szCs w:val="16"/>
        </w:rPr>
        <w:t>★</w:t>
      </w:r>
      <w:r w:rsidRPr="003E3324">
        <w:rPr>
          <w:rStyle w:val="Strong"/>
          <w:rFonts w:ascii="Times New Roman" w:eastAsia="SimSun" w:hAnsi="Times New Roman" w:cs="Times New Roman" w:hint="eastAsia"/>
          <w:b w:val="0"/>
          <w:bCs/>
          <w:color w:val="000000"/>
          <w:sz w:val="16"/>
          <w:szCs w:val="16"/>
        </w:rPr>
        <w:t xml:space="preserve">/9; Quality Rating: Low risk of bias: 7-9 stars; Moderate risk of bias: 4-6 stars; High risk of </w:t>
      </w:r>
      <w:r w:rsidRPr="003E3324">
        <w:rPr>
          <w:rStyle w:val="Strong"/>
          <w:rFonts w:ascii="Times New Roman" w:eastAsia="SimSun" w:hAnsi="Times New Roman" w:cs="Times New Roman" w:hint="eastAsia"/>
          <w:b w:val="0"/>
          <w:bCs/>
          <w:color w:val="000000"/>
          <w:sz w:val="16"/>
          <w:szCs w:val="16"/>
        </w:rPr>
        <w:t>bias: 0-3 stars.</w:t>
      </w:r>
    </w:p>
    <w:p w14:paraId="6B8912D9" w14:textId="77777777" w:rsidR="00F51991" w:rsidRPr="003E3324" w:rsidRDefault="00F51991">
      <w:pPr>
        <w:rPr>
          <w:rStyle w:val="Strong"/>
          <w:rFonts w:ascii="Times New Roman" w:eastAsia="SimSun" w:hAnsi="Times New Roman" w:cs="Times New Roman"/>
          <w:b w:val="0"/>
          <w:bCs/>
          <w:color w:val="000000"/>
          <w:sz w:val="16"/>
          <w:szCs w:val="16"/>
        </w:rPr>
      </w:pPr>
    </w:p>
    <w:p w14:paraId="4F096D8A" w14:textId="77777777" w:rsidR="00F51991" w:rsidRPr="003E3324" w:rsidRDefault="00F51991">
      <w:pPr>
        <w:rPr>
          <w:rStyle w:val="Strong"/>
          <w:rFonts w:ascii="Times New Roman" w:eastAsia="SimSun" w:hAnsi="Times New Roman" w:cs="Times New Roman"/>
          <w:b w:val="0"/>
          <w:bCs/>
          <w:color w:val="000000"/>
          <w:sz w:val="16"/>
          <w:szCs w:val="16"/>
        </w:rPr>
      </w:pPr>
    </w:p>
    <w:p w14:paraId="05EB57E0" w14:textId="77777777" w:rsidR="00F51991" w:rsidRPr="003E3324" w:rsidRDefault="00F51991">
      <w:pPr>
        <w:rPr>
          <w:rStyle w:val="Strong"/>
          <w:rFonts w:ascii="Times New Roman" w:eastAsia="SimSun" w:hAnsi="Times New Roman" w:cs="Times New Roman"/>
          <w:b w:val="0"/>
          <w:bCs/>
          <w:color w:val="000000"/>
          <w:sz w:val="16"/>
          <w:szCs w:val="16"/>
        </w:rPr>
      </w:pPr>
    </w:p>
    <w:p w14:paraId="450E6B7F" w14:textId="77777777" w:rsidR="00F51991" w:rsidRPr="003E3324" w:rsidRDefault="00F51991">
      <w:pPr>
        <w:rPr>
          <w:rStyle w:val="Strong"/>
          <w:rFonts w:ascii="Times New Roman" w:eastAsia="Segoe UI" w:hAnsi="Times New Roman" w:cs="Times New Roman"/>
          <w:color w:val="000000"/>
          <w:sz w:val="24"/>
        </w:rPr>
      </w:pPr>
    </w:p>
    <w:p w14:paraId="598E0D91" w14:textId="77777777" w:rsidR="00F51991" w:rsidRPr="003E3324" w:rsidRDefault="00F51991">
      <w:pPr>
        <w:rPr>
          <w:rStyle w:val="Strong"/>
          <w:rFonts w:ascii="Times New Roman" w:eastAsia="Segoe UI" w:hAnsi="Times New Roman" w:cs="Times New Roman"/>
          <w:color w:val="000000"/>
          <w:sz w:val="24"/>
        </w:rPr>
      </w:pPr>
    </w:p>
    <w:p w14:paraId="30EA3A02" w14:textId="77777777" w:rsidR="00F51991" w:rsidRPr="003E3324" w:rsidRDefault="00F51991">
      <w:pPr>
        <w:rPr>
          <w:rStyle w:val="Strong"/>
          <w:rFonts w:ascii="Times New Roman" w:eastAsia="Segoe UI" w:hAnsi="Times New Roman" w:cs="Times New Roman"/>
          <w:color w:val="000000"/>
          <w:sz w:val="24"/>
        </w:rPr>
      </w:pPr>
    </w:p>
    <w:p w14:paraId="5596C6E2" w14:textId="77777777" w:rsidR="00F51991" w:rsidRPr="003E3324" w:rsidRDefault="00F51991">
      <w:pPr>
        <w:rPr>
          <w:rStyle w:val="Strong"/>
          <w:rFonts w:ascii="Times New Roman" w:eastAsia="Segoe UI" w:hAnsi="Times New Roman" w:cs="Times New Roman"/>
          <w:color w:val="000000"/>
          <w:sz w:val="24"/>
        </w:rPr>
      </w:pPr>
    </w:p>
    <w:p w14:paraId="1046C855" w14:textId="77777777" w:rsidR="00F51991" w:rsidRPr="003E3324" w:rsidRDefault="00F51991">
      <w:pPr>
        <w:rPr>
          <w:rStyle w:val="Strong"/>
          <w:rFonts w:ascii="Times New Roman" w:eastAsia="Segoe UI" w:hAnsi="Times New Roman" w:cs="Times New Roman"/>
          <w:color w:val="000000"/>
          <w:sz w:val="24"/>
        </w:rPr>
      </w:pPr>
    </w:p>
    <w:p w14:paraId="1AFE0DD7" w14:textId="77777777" w:rsidR="00F51991" w:rsidRPr="003E3324" w:rsidRDefault="00F51991">
      <w:pPr>
        <w:rPr>
          <w:rStyle w:val="Strong"/>
          <w:rFonts w:ascii="Times New Roman" w:eastAsia="Segoe UI" w:hAnsi="Times New Roman" w:cs="Times New Roman"/>
          <w:color w:val="000000"/>
          <w:sz w:val="24"/>
        </w:rPr>
      </w:pPr>
    </w:p>
    <w:p w14:paraId="29DE8FC0" w14:textId="77777777" w:rsidR="00F51991" w:rsidRPr="003E3324" w:rsidRDefault="003E3324">
      <w:pPr>
        <w:rPr>
          <w:rStyle w:val="Strong"/>
          <w:rFonts w:ascii="Times New Roman" w:eastAsia="Segoe UI" w:hAnsi="Times New Roman" w:cs="Times New Roman"/>
          <w:b w:val="0"/>
          <w:color w:val="000000"/>
          <w:sz w:val="24"/>
        </w:rPr>
      </w:pPr>
      <w:r w:rsidRPr="003E3324">
        <w:rPr>
          <w:rStyle w:val="Strong"/>
          <w:rFonts w:ascii="Times New Roman" w:eastAsia="Segoe UI" w:hAnsi="Times New Roman" w:cs="Times New Roman"/>
          <w:color w:val="000000"/>
          <w:sz w:val="24"/>
        </w:rPr>
        <w:t xml:space="preserve">Table </w:t>
      </w:r>
      <w:r w:rsidRPr="003E3324">
        <w:rPr>
          <w:rStyle w:val="Strong"/>
          <w:rFonts w:ascii="Times New Roman" w:eastAsia="SimSun" w:hAnsi="Times New Roman" w:cs="Times New Roman"/>
          <w:color w:val="000000"/>
          <w:sz w:val="24"/>
        </w:rPr>
        <w:t>S</w:t>
      </w:r>
      <w:r w:rsidRPr="003E3324">
        <w:rPr>
          <w:rStyle w:val="Strong"/>
          <w:rFonts w:ascii="Times New Roman" w:eastAsia="SimSun" w:hAnsi="Times New Roman" w:cs="Times New Roman" w:hint="eastAsia"/>
          <w:color w:val="000000"/>
          <w:sz w:val="24"/>
        </w:rPr>
        <w:t>2</w:t>
      </w:r>
      <w:r w:rsidRPr="003E3324">
        <w:rPr>
          <w:rStyle w:val="Strong"/>
          <w:rFonts w:ascii="Times New Roman" w:eastAsia="Segoe UI" w:hAnsi="Times New Roman" w:cs="Times New Roman"/>
          <w:color w:val="000000"/>
          <w:sz w:val="24"/>
        </w:rPr>
        <w:t xml:space="preserve">. </w:t>
      </w:r>
      <w:r w:rsidRPr="003E3324">
        <w:rPr>
          <w:rStyle w:val="Strong"/>
          <w:rFonts w:ascii="Times New Roman" w:eastAsia="Segoe UI" w:hAnsi="Times New Roman" w:cs="Times New Roman"/>
          <w:b w:val="0"/>
          <w:color w:val="000000"/>
          <w:sz w:val="24"/>
        </w:rPr>
        <w:t>Characteristics of the included studies in th</w:t>
      </w:r>
      <w:r w:rsidRPr="003E3324">
        <w:rPr>
          <w:rStyle w:val="Strong"/>
          <w:rFonts w:ascii="Times New Roman" w:eastAsia="SimSun" w:hAnsi="Times New Roman" w:cs="Times New Roman" w:hint="eastAsia"/>
          <w:b w:val="0"/>
          <w:color w:val="000000"/>
          <w:sz w:val="24"/>
        </w:rPr>
        <w:t>e</w:t>
      </w:r>
      <w:r w:rsidRPr="003E3324">
        <w:rPr>
          <w:rStyle w:val="Strong"/>
          <w:rFonts w:ascii="Times New Roman" w:eastAsia="Segoe UI" w:hAnsi="Times New Roman" w:cs="Times New Roman"/>
          <w:b w:val="0"/>
          <w:color w:val="000000"/>
          <w:sz w:val="24"/>
        </w:rPr>
        <w:t xml:space="preserve"> meta-analysis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880"/>
        <w:gridCol w:w="930"/>
        <w:gridCol w:w="810"/>
        <w:gridCol w:w="1210"/>
        <w:gridCol w:w="1180"/>
        <w:gridCol w:w="1680"/>
        <w:gridCol w:w="1058"/>
      </w:tblGrid>
      <w:tr w:rsidR="00F51991" w:rsidRPr="003E3324" w14:paraId="6BE29620" w14:textId="77777777">
        <w:trPr>
          <w:tblHeader/>
        </w:trPr>
        <w:tc>
          <w:tcPr>
            <w:tcW w:w="918" w:type="dxa"/>
            <w:tcBorders>
              <w:top w:val="single" w:sz="12" w:space="0" w:color="000000"/>
              <w:left w:val="nil"/>
              <w:bottom w:val="single" w:sz="4" w:space="0" w:color="000000"/>
              <w:tl2br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3E0603" w14:textId="77777777" w:rsidR="00F51991" w:rsidRPr="003E3324" w:rsidRDefault="003E3324">
            <w:pPr>
              <w:widowControl/>
              <w:spacing w:line="180" w:lineRule="exact"/>
              <w:jc w:val="center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lastRenderedPageBreak/>
              <w:t>Study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single" w:sz="4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7CCBCA" w14:textId="77777777" w:rsidR="00F51991" w:rsidRPr="003E3324" w:rsidRDefault="003E3324">
            <w:pPr>
              <w:widowControl/>
              <w:spacing w:line="180" w:lineRule="exact"/>
              <w:jc w:val="center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Groups</w:t>
            </w: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single" w:sz="4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CD8631" w14:textId="77777777" w:rsidR="00F51991" w:rsidRPr="003E3324" w:rsidRDefault="003E3324">
            <w:pPr>
              <w:widowControl/>
              <w:spacing w:line="180" w:lineRule="exact"/>
              <w:jc w:val="center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Sample size, n</w:t>
            </w: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4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A8F9EF" w14:textId="77777777" w:rsidR="00F51991" w:rsidRPr="003E3324" w:rsidRDefault="003E3324">
            <w:pPr>
              <w:widowControl/>
              <w:spacing w:line="180" w:lineRule="exact"/>
              <w:jc w:val="center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Males, n</w:t>
            </w:r>
          </w:p>
        </w:tc>
        <w:tc>
          <w:tcPr>
            <w:tcW w:w="1210" w:type="dxa"/>
            <w:tcBorders>
              <w:top w:val="single" w:sz="12" w:space="0" w:color="000000"/>
              <w:left w:val="nil"/>
              <w:bottom w:val="single" w:sz="4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992DB5" w14:textId="77777777" w:rsidR="00F51991" w:rsidRPr="003E3324" w:rsidRDefault="003E3324">
            <w:pPr>
              <w:widowControl/>
              <w:spacing w:line="180" w:lineRule="exact"/>
              <w:jc w:val="center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Mean age, years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A7FAA7" w14:textId="77777777" w:rsidR="00F51991" w:rsidRPr="003E3324" w:rsidRDefault="003E3324">
            <w:pPr>
              <w:widowControl/>
              <w:spacing w:line="180" w:lineRule="exact"/>
              <w:jc w:val="center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Duration of diabetes, years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4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90ADF4" w14:textId="77777777" w:rsidR="00F51991" w:rsidRPr="003E3324" w:rsidRDefault="003E3324">
            <w:pPr>
              <w:widowControl/>
              <w:spacing w:line="180" w:lineRule="exact"/>
              <w:jc w:val="center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Details of procedures</w:t>
            </w:r>
          </w:p>
        </w:tc>
        <w:tc>
          <w:tcPr>
            <w:tcW w:w="105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55AAEF" w14:textId="77777777" w:rsidR="00F51991" w:rsidRPr="003E3324" w:rsidRDefault="003E3324">
            <w:pPr>
              <w:widowControl/>
              <w:spacing w:line="180" w:lineRule="exact"/>
              <w:jc w:val="center"/>
              <w:rPr>
                <w:rFonts w:ascii="Times New Roman" w:eastAsia="Segoe UI" w:hAnsi="Times New Roman" w:cs="Times New Roman"/>
                <w:bCs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bCs/>
                <w:color w:val="000000"/>
                <w:kern w:val="0"/>
                <w:sz w:val="16"/>
                <w:szCs w:val="16"/>
                <w:lang w:bidi="ar"/>
              </w:rPr>
              <w:t>Follow-up duration</w:t>
            </w:r>
          </w:p>
        </w:tc>
      </w:tr>
      <w:tr w:rsidR="00F51991" w:rsidRPr="003E3324" w14:paraId="63A071A9" w14:textId="77777777">
        <w:tc>
          <w:tcPr>
            <w:tcW w:w="918" w:type="dxa"/>
            <w:vMerge w:val="restart"/>
            <w:tcBorders>
              <w:top w:val="single" w:sz="4" w:space="0" w:color="000000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A6DF6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Cui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2018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[11]</w:t>
            </w:r>
          </w:p>
          <w:p w14:paraId="0BEBF063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D02E9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806D2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923E7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7BF08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55.28±5.16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1A7E9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28.76±5.27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C4EEC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IVR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3-7 days before 23G PPV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F0479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 months</w:t>
            </w:r>
          </w:p>
        </w:tc>
      </w:tr>
      <w:tr w:rsidR="00F51991" w:rsidRPr="003E3324" w14:paraId="10D8702A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41012B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2B8DE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8DDC8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A2F76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8B29D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60.74±2.63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D6D94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24.25±6.33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0B38F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3-7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77BAB7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45874548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D670A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Lu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2019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[14]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E61D8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58845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125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B2F70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21888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52.13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±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6.71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F2EF0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0ECC3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25FED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 months</w:t>
            </w:r>
          </w:p>
        </w:tc>
      </w:tr>
      <w:tr w:rsidR="00F51991" w:rsidRPr="003E3324" w14:paraId="14914C29" w14:textId="77777777">
        <w:tc>
          <w:tcPr>
            <w:tcW w:w="918" w:type="dxa"/>
            <w:vMerge/>
            <w:tcBorders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4A874E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A4C190" w14:textId="77777777" w:rsidR="00F51991" w:rsidRPr="003E3324" w:rsidRDefault="003E332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IVR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C135D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5F830C" w14:textId="77777777" w:rsidR="00F51991" w:rsidRPr="003E3324" w:rsidRDefault="003E332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BC31C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53.33±7.27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9BB39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2EB7E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IVR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before 23G PPV</w:t>
            </w:r>
          </w:p>
        </w:tc>
        <w:tc>
          <w:tcPr>
            <w:tcW w:w="105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4ED9FD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5D45E628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39F7D5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46576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BCDBF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C2161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85F8A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51.44±8.33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F4EC1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B05F2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 xml:space="preserve">IVC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5-7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75291F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515FDF10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C22EF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Mao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2018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[15]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6F360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EFA95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FF4A2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735F1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57.52±9.47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12C2F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13.54±9.47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C7AC6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CEC6D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 months</w:t>
            </w:r>
          </w:p>
        </w:tc>
      </w:tr>
      <w:tr w:rsidR="00F51991" w:rsidRPr="003E3324" w14:paraId="06782267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3CAB91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02466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6DD6D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C0F2C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14E8E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52.73±9.20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A46AD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9.27±6.50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DEADD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3-7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B0AB24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2075EF25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DFC0C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Ren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2019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[16]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9CBD3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F6356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558A5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157F9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62 (46-80)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F24F0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12.04±6.05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F29DD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38E291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 months</w:t>
            </w:r>
          </w:p>
        </w:tc>
      </w:tr>
      <w:tr w:rsidR="00F51991" w:rsidRPr="003E3324" w14:paraId="58E2A3E0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D1B535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D5E64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03F5E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9D8811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EB040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 (28-69)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0AB3F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10.36±4.17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778D6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immediately after 25G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A2D6B7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55CBFFE0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B406D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Su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2016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[17]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348A5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C141A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789F9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D3B6F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374F3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2702A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4D92C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 months</w:t>
            </w:r>
          </w:p>
        </w:tc>
      </w:tr>
      <w:tr w:rsidR="00F51991" w:rsidRPr="003E3324" w14:paraId="56844A1B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E0AFA6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838C2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D0123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6556B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E0CE9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438F6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50C45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7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614BDD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531C8008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7E3B9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Xu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2019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[18]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5A622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EB98B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76984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53185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51.9±8.3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B86C9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7.0±4.0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9404E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1A65F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 months</w:t>
            </w:r>
          </w:p>
        </w:tc>
      </w:tr>
      <w:tr w:rsidR="00F51991" w:rsidRPr="003E3324" w14:paraId="1565D834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921852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CE05E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1B6DD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B79F2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63EFA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50.1±10.1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1F3CA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8.8±5.0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971AA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 xml:space="preserve">IVC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5-10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43F929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65A56E36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8068A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Yang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2016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[10]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2819B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BA418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FB8AA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EC01D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49.64±8.71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58312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15.87±4.77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7F808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835CB1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months</w:t>
            </w:r>
          </w:p>
        </w:tc>
      </w:tr>
      <w:tr w:rsidR="00F51991" w:rsidRPr="003E3324" w14:paraId="02447A7E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D66C5C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03DF6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B0DB3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9F6A3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92E41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48.63±8.24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77F0D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16.67±4.53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4A199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C0D4DC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2A89EABC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80B3A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Yang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2019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[19]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CE187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37CE7E" w14:textId="77777777" w:rsidR="00F51991" w:rsidRPr="003E3324" w:rsidRDefault="003E332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91568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B9A43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51.5±13.3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67C27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F74BB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IVR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3-5 days before 23G PPV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6B6D1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 months</w:t>
            </w:r>
          </w:p>
        </w:tc>
      </w:tr>
      <w:tr w:rsidR="00F51991" w:rsidRPr="003E3324" w14:paraId="0898EF55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EA5AEE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FB3241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A6AAB6" w14:textId="77777777" w:rsidR="00F51991" w:rsidRPr="003E3324" w:rsidRDefault="003E332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5F125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A0DE5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49.7±12.2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3FC77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07305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 xml:space="preserve">IVC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3-5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BDA64E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1502BF0E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3BFAC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Li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2020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[13]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49166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09F1C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62133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6F067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56.0±10.5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5F13C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14.0±6.8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CA1DE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46B4A0" w14:textId="77777777" w:rsidR="00F51991" w:rsidRPr="003E3324" w:rsidRDefault="003E332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51991" w:rsidRPr="003E3324" w14:paraId="503E0984" w14:textId="77777777">
        <w:tc>
          <w:tcPr>
            <w:tcW w:w="918" w:type="dxa"/>
            <w:vMerge/>
            <w:tcBorders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9E9C5D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15AF1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IVC-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7B602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7EFBC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39B0A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51.1±11.6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FDE0B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10.9±7.7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EFDF2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7 days before 23G PPV</w:t>
            </w:r>
          </w:p>
        </w:tc>
        <w:tc>
          <w:tcPr>
            <w:tcW w:w="105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105650" w14:textId="77777777" w:rsidR="00F51991" w:rsidRPr="003E3324" w:rsidRDefault="00F5199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1037E8AF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3FE3FC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61D1B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IVC-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4653A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D3580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89CC11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53.1±10.0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DBD37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  <w:t>11.8±6.9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63A34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14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216018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643601A4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4DEF8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J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iang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 2020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[12]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41DFF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BB4A4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30C38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F212C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53.5±9.59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A9B1E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9.88±8.52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0BF40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25G PPV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68472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12 months</w:t>
            </w:r>
          </w:p>
        </w:tc>
      </w:tr>
      <w:tr w:rsidR="00F51991" w:rsidRPr="003E3324" w14:paraId="6F4E7F65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ACEF19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F115D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44D39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3B122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12A20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55.54±9.94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69460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13.19±8.08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2A82F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after 25G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30241D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4313151D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9A9F3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Yang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2023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[25]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B01E2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A8E8E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2E623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FB765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55.33±5.65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6AC80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15.25±5.33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0428E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4D87C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</w:tr>
      <w:tr w:rsidR="00F51991" w:rsidRPr="003E3324" w14:paraId="5B52CE32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DB7A11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6FDBC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23CA1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2C278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03932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44.50±11.77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E8890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11.94±7.35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96122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3-14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62A339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081BA040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49262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Li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2022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[20]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D2BAA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0A8D2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2BB86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B7DC3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54.50±9.23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C7E29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8.50 (5.00, 11.00)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20B85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IVR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3-5 days before 25G PPV 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CC79D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 months</w:t>
            </w:r>
          </w:p>
        </w:tc>
      </w:tr>
      <w:tr w:rsidR="00F51991" w:rsidRPr="003E3324" w14:paraId="23631DD0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73007E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61893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6C347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3628C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29D92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54.28±10.61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2EC7D1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8.50 (5.00, 11.75)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9EA06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3-5 days before 25G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E15E54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1D7149B4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4E100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Li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2021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[21]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81639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97668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36C35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F000B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51.89±9.21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AEF5F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10.22±3.26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A9E87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30473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 months</w:t>
            </w:r>
          </w:p>
        </w:tc>
      </w:tr>
      <w:tr w:rsidR="00F51991" w:rsidRPr="003E3324" w14:paraId="091642CD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95CF06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42F41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47C58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5C295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AB0C1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52.14±8.45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12898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9.88±2.71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E164B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6-7 days before 27G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7278D2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24B31923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08FE3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Ou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2021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[23]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A40CB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711AC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D784E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C4759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57.35±10.98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3FC9D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8.89±2.23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32421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23G PPV without 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BB5F5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3 months</w:t>
            </w:r>
          </w:p>
        </w:tc>
      </w:tr>
      <w:tr w:rsidR="00F51991" w:rsidRPr="003E3324" w14:paraId="5F56F967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20E0DD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62E11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6C55B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45C65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A8DCE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56.71±12.65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C9A99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8.71±1.98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59207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5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20C042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2B0F1A22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126C9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Luo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2018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[22]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18A88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A5B2C8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6ECDDF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9F2FC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57.68±11.29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3A6D36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7D687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37FDE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 months</w:t>
            </w:r>
          </w:p>
        </w:tc>
      </w:tr>
      <w:tr w:rsidR="00F51991" w:rsidRPr="003E3324" w14:paraId="35C20117" w14:textId="77777777"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E3F24A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A069E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049A5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BCA700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93A1C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57.00±13.14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DF97BC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757401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7 days before 23G PPV</w:t>
            </w:r>
          </w:p>
        </w:tc>
        <w:tc>
          <w:tcPr>
            <w:tcW w:w="105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083D00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579CEFAA" w14:textId="77777777">
        <w:tc>
          <w:tcPr>
            <w:tcW w:w="918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A1A6F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Sun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et al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2015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[24]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F76D6E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Control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CE1F59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BA954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01078B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57.36±3.3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5714B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±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1.3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8A52A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23G PPV without IVC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A6B81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 months</w:t>
            </w:r>
          </w:p>
        </w:tc>
      </w:tr>
      <w:tr w:rsidR="00F51991" w:rsidRPr="003E3324" w14:paraId="11B009DA" w14:textId="77777777">
        <w:tc>
          <w:tcPr>
            <w:tcW w:w="918" w:type="dxa"/>
            <w:vMerge/>
            <w:tcBorders>
              <w:lef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AEA18B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33C59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IVR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DCFFB7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291E5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2B24B2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52.58±2.7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64B3CA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±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1.7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35B99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IVR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3-5 days before 23G PPV</w:t>
            </w:r>
          </w:p>
        </w:tc>
        <w:tc>
          <w:tcPr>
            <w:tcW w:w="105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38D3B7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1991" w:rsidRPr="003E3324" w14:paraId="2A39CE6A" w14:textId="77777777">
        <w:tc>
          <w:tcPr>
            <w:tcW w:w="918" w:type="dxa"/>
            <w:vMerge/>
            <w:tcBorders>
              <w:left w:val="nil"/>
              <w:bottom w:val="single" w:sz="12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77F805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5876E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D35E03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118D1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12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BE66C5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±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3.2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98FD34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±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1.4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25DCCD" w14:textId="77777777" w:rsidR="00F51991" w:rsidRPr="003E3324" w:rsidRDefault="003E3324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0.5mg </w:t>
            </w:r>
            <w:r w:rsidRPr="003E3324">
              <w:rPr>
                <w:rFonts w:ascii="Times New Roman" w:eastAsia="Segoe UI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IVC</w:t>
            </w:r>
            <w:r w:rsidRPr="003E3324">
              <w:rPr>
                <w:rFonts w:ascii="Times New Roman" w:eastAsia="Segoe UI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3-5 days before 23G PPV</w:t>
            </w:r>
          </w:p>
        </w:tc>
        <w:tc>
          <w:tcPr>
            <w:tcW w:w="1058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D0F088" w14:textId="77777777" w:rsidR="00F51991" w:rsidRPr="003E3324" w:rsidRDefault="00F51991">
            <w:pPr>
              <w:widowControl/>
              <w:jc w:val="left"/>
              <w:rPr>
                <w:rFonts w:ascii="Times New Roman" w:eastAsia="Segoe UI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281A528" w14:textId="77777777" w:rsidR="00F51991" w:rsidRPr="003E3324" w:rsidRDefault="003E3324">
      <w:pPr>
        <w:jc w:val="left"/>
        <w:rPr>
          <w:rStyle w:val="Strong"/>
          <w:rFonts w:ascii="Times New Roman" w:eastAsia="SimSun" w:hAnsi="Times New Roman" w:cs="Times New Roman"/>
          <w:b w:val="0"/>
          <w:bCs/>
          <w:color w:val="000000"/>
          <w:sz w:val="16"/>
          <w:szCs w:val="16"/>
        </w:rPr>
      </w:pPr>
      <w:r w:rsidRPr="003E3324">
        <w:rPr>
          <w:rStyle w:val="Strong"/>
          <w:rFonts w:ascii="Times New Roman" w:eastAsia="SimSun" w:hAnsi="Times New Roman" w:cs="Times New Roman"/>
          <w:b w:val="0"/>
          <w:bCs/>
          <w:color w:val="000000"/>
          <w:sz w:val="16"/>
          <w:szCs w:val="16"/>
        </w:rPr>
        <w:t xml:space="preserve">Note: </w:t>
      </w:r>
      <w:r w:rsidRPr="003E3324">
        <w:rPr>
          <w:rStyle w:val="Strong"/>
          <w:rFonts w:ascii="Times New Roman" w:eastAsia="SimSun" w:hAnsi="Times New Roman" w:cs="Times New Roman" w:hint="eastAsia"/>
          <w:b w:val="0"/>
          <w:bCs/>
          <w:color w:val="000000"/>
          <w:sz w:val="16"/>
          <w:szCs w:val="16"/>
        </w:rPr>
        <w:t>IVC: intravitreal Conbercept; PPV: pars plana vitrectomy; IVR: intravitreal Ranibizumab.</w:t>
      </w:r>
    </w:p>
    <w:sectPr w:rsidR="00F51991" w:rsidRPr="003E3324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B667" w14:textId="77777777" w:rsidR="003E3324" w:rsidRDefault="003E3324" w:rsidP="003E3324">
      <w:r>
        <w:separator/>
      </w:r>
    </w:p>
  </w:endnote>
  <w:endnote w:type="continuationSeparator" w:id="0">
    <w:p w14:paraId="54E272C8" w14:textId="77777777" w:rsidR="003E3324" w:rsidRDefault="003E3324" w:rsidP="003E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8F85" w14:textId="332FED53" w:rsidR="003E3324" w:rsidRDefault="003E33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B050EF" wp14:editId="546C34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74590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819B2" w14:textId="697E9223" w:rsidR="003E3324" w:rsidRPr="003E3324" w:rsidRDefault="003E3324" w:rsidP="003E33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33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05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B7819B2" w14:textId="697E9223" w:rsidR="003E3324" w:rsidRPr="003E3324" w:rsidRDefault="003E3324" w:rsidP="003E33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33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6B3A" w14:textId="635C33D3" w:rsidR="003E3324" w:rsidRDefault="003E33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3D033C" wp14:editId="640411D2">
              <wp:simplePos x="1146412" y="990145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2951758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A5334" w14:textId="7A16A703" w:rsidR="003E3324" w:rsidRPr="003E3324" w:rsidRDefault="003E3324" w:rsidP="003E33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33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D03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FBA5334" w14:textId="7A16A703" w:rsidR="003E3324" w:rsidRPr="003E3324" w:rsidRDefault="003E3324" w:rsidP="003E33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33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9EA0" w14:textId="56F0F509" w:rsidR="003E3324" w:rsidRDefault="003E33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F54ABC" wp14:editId="584615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303309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7BD62" w14:textId="47B93A75" w:rsidR="003E3324" w:rsidRPr="003E3324" w:rsidRDefault="003E3324" w:rsidP="003E33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33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54A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6C7BD62" w14:textId="47B93A75" w:rsidR="003E3324" w:rsidRPr="003E3324" w:rsidRDefault="003E3324" w:rsidP="003E33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33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B7B0" w14:textId="77777777" w:rsidR="003E3324" w:rsidRDefault="003E3324" w:rsidP="003E3324">
      <w:r>
        <w:separator/>
      </w:r>
    </w:p>
  </w:footnote>
  <w:footnote w:type="continuationSeparator" w:id="0">
    <w:p w14:paraId="1E8DA098" w14:textId="77777777" w:rsidR="003E3324" w:rsidRDefault="003E3324" w:rsidP="003E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525F0C"/>
    <w:rsid w:val="003E3324"/>
    <w:rsid w:val="005D7ABB"/>
    <w:rsid w:val="00F51991"/>
    <w:rsid w:val="106E22E2"/>
    <w:rsid w:val="15775749"/>
    <w:rsid w:val="159867C8"/>
    <w:rsid w:val="1A3B5015"/>
    <w:rsid w:val="228D2126"/>
    <w:rsid w:val="27525F0C"/>
    <w:rsid w:val="48842C76"/>
    <w:rsid w:val="5C476924"/>
    <w:rsid w:val="6E2F4525"/>
    <w:rsid w:val="7A63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FD5EFB-26E4-41F0-858B-EE00E7FE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paragraph" w:styleId="Revision">
    <w:name w:val="Revision"/>
    <w:hidden/>
    <w:uiPriority w:val="99"/>
    <w:unhideWhenUsed/>
    <w:rsid w:val="003E3324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3E33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3324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小张</dc:creator>
  <cp:lastModifiedBy>Mitchell, Reed</cp:lastModifiedBy>
  <cp:revision>2</cp:revision>
  <dcterms:created xsi:type="dcterms:W3CDTF">2025-07-22T02:54:00Z</dcterms:created>
  <dcterms:modified xsi:type="dcterms:W3CDTF">2025-07-22T02:54:00Z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20666E8205574209B303491347003FB0_11</vt:lpwstr>
  </property>
  <property fmtid="{D5CDD505-2E9C-101B-9397-08002B2CF9AE}" pid="4" name="KSOTemplateDocerSaveRecord">
    <vt:lpwstr>eyJoZGlkIjoiYTFkM2QxODMxYjU1Y2Y3NWM4ZDQ1OTY5NDUxMjI3ZTMiLCJ1c2VySWQiOiI0MDI2OTYzMzMifQ==</vt:lpwstr>
  </property>
  <property fmtid="{D5CDD505-2E9C-101B-9397-08002B2CF9AE}" pid="5" name="ClassificationContentMarkingFooterShapeIds">
    <vt:lpwstr>1f9c355a,8317585,5b2a9615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2025-07-22T02:54:04Z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a964f794-cde6-44c2-a37d-34cb97ba70e6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