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85AA2" w14:textId="77777777" w:rsidR="000D1F13" w:rsidRDefault="00000000">
      <w:pPr>
        <w:rPr>
          <w:rFonts w:ascii="Times New Roman" w:hAnsi="Times New Roman"/>
          <w:b/>
          <w:bCs/>
          <w:sz w:val="24"/>
          <w:shd w:val="clear" w:color="auto" w:fill="FFFFFF"/>
        </w:rPr>
      </w:pPr>
      <w:r>
        <w:rPr>
          <w:rFonts w:ascii="Times New Roman" w:eastAsia="Segoe UI" w:hAnsi="Times New Roman"/>
          <w:b/>
          <w:bCs/>
          <w:sz w:val="24"/>
          <w:shd w:val="clear" w:color="auto" w:fill="FFFFFF"/>
        </w:rPr>
        <w:t xml:space="preserve">Supplementary 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tables &amp; figures</w:t>
      </w:r>
    </w:p>
    <w:p w14:paraId="2F4962CE" w14:textId="77777777" w:rsidR="000D1F13" w:rsidRDefault="00000000">
      <w:pPr>
        <w:pStyle w:val="CommentText"/>
        <w:spacing w:line="48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Table 1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</w:rPr>
        <w:t>Sample grouping information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3315"/>
        <w:gridCol w:w="2269"/>
        <w:gridCol w:w="1790"/>
      </w:tblGrid>
      <w:tr w:rsidR="000D1F13" w14:paraId="236650C2" w14:textId="77777777">
        <w:trPr>
          <w:trHeight w:val="46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D60567F" w14:textId="77777777" w:rsidR="000D1F13" w:rsidRDefault="00000000">
            <w:pPr>
              <w:pStyle w:val="TableParagraph"/>
              <w:spacing w:before="120" w:line="480" w:lineRule="auto"/>
              <w:jc w:val="both"/>
              <w:rPr>
                <w:rFonts w:ascii="Times New Roman" w:eastAsia="SimSun" w:hAnsi="Times New Roman"/>
                <w:b/>
                <w:sz w:val="24"/>
              </w:rPr>
            </w:pPr>
            <w:r>
              <w:rPr>
                <w:rFonts w:ascii="Times New Roman" w:eastAsia="SimSun" w:hAnsi="Times New Roman"/>
                <w:b/>
                <w:sz w:val="24"/>
              </w:rPr>
              <w:t>Sample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E321EC" w14:textId="77777777" w:rsidR="000D1F13" w:rsidRDefault="00000000">
            <w:pPr>
              <w:pStyle w:val="TableParagraph"/>
              <w:spacing w:before="120" w:line="480" w:lineRule="auto"/>
              <w:ind w:left="106" w:right="106"/>
              <w:jc w:val="both"/>
              <w:rPr>
                <w:rFonts w:ascii="Times New Roman" w:eastAsia="SimSun" w:hAnsi="Times New Roman"/>
                <w:b/>
                <w:sz w:val="24"/>
              </w:rPr>
            </w:pPr>
            <w:r>
              <w:rPr>
                <w:rFonts w:ascii="Times New Roman" w:eastAsia="SimSun" w:hAnsi="Times New Roman"/>
                <w:b/>
                <w:sz w:val="24"/>
              </w:rPr>
              <w:t>Group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B994822" w14:textId="77777777" w:rsidR="000D1F13" w:rsidRDefault="00000000">
            <w:pPr>
              <w:pStyle w:val="TableParagraph"/>
              <w:spacing w:before="120" w:line="480" w:lineRule="auto"/>
              <w:ind w:left="107" w:right="156"/>
              <w:jc w:val="both"/>
              <w:rPr>
                <w:rFonts w:ascii="Times New Roman" w:eastAsia="SimSun" w:hAnsi="Times New Roman"/>
                <w:b/>
                <w:sz w:val="24"/>
              </w:rPr>
            </w:pPr>
            <w:r>
              <w:rPr>
                <w:rFonts w:ascii="Times New Roman" w:eastAsia="SimSun" w:hAnsi="Times New Roman"/>
                <w:b/>
                <w:sz w:val="24"/>
              </w:rPr>
              <w:t>Group abbreviations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270FB51" w14:textId="77777777" w:rsidR="000D1F13" w:rsidRDefault="00000000">
            <w:pPr>
              <w:pStyle w:val="TableParagraph"/>
              <w:spacing w:before="132" w:line="480" w:lineRule="auto"/>
              <w:ind w:left="156" w:right="195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hd w:val="clear" w:color="auto" w:fill="FFFFFF"/>
              </w:rPr>
              <w:t>Staging of</w:t>
            </w:r>
            <w:r>
              <w:rPr>
                <w:rFonts w:ascii="Times New Roman" w:eastAsia="SimSun" w:hAnsi="Times New Roman"/>
                <w:b/>
                <w:bCs/>
                <w:sz w:val="24"/>
                <w:shd w:val="clear" w:color="auto" w:fill="FFFFFF"/>
              </w:rPr>
              <w:t xml:space="preserve"> CKD</w:t>
            </w:r>
          </w:p>
        </w:tc>
      </w:tr>
      <w:tr w:rsidR="000D1F13" w14:paraId="40362765" w14:textId="77777777">
        <w:trPr>
          <w:trHeight w:val="311"/>
        </w:trPr>
        <w:tc>
          <w:tcPr>
            <w:tcW w:w="0" w:type="auto"/>
            <w:tcBorders>
              <w:top w:val="single" w:sz="4" w:space="0" w:color="auto"/>
            </w:tcBorders>
          </w:tcPr>
          <w:p w14:paraId="2734DF65" w14:textId="77777777" w:rsidR="000D1F13" w:rsidRDefault="00000000">
            <w:pPr>
              <w:pStyle w:val="TableParagraph"/>
              <w:spacing w:before="52"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YYF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6AF305" w14:textId="77777777" w:rsidR="000D1F13" w:rsidRDefault="00000000">
            <w:pPr>
              <w:pStyle w:val="TableParagraph"/>
              <w:spacing w:before="42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healthy control (no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</w:rPr>
              <w:t>kidney impairment group)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BF9CBAD" w14:textId="77777777" w:rsidR="000D1F13" w:rsidRDefault="00000000">
            <w:pPr>
              <w:pStyle w:val="TableParagraph"/>
              <w:spacing w:before="52" w:line="480" w:lineRule="auto"/>
              <w:ind w:right="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0782EA" w14:textId="77777777" w:rsidR="000D1F13" w:rsidRDefault="000D1F13">
            <w:pPr>
              <w:pStyle w:val="TableParagraph"/>
              <w:spacing w:before="52" w:line="480" w:lineRule="auto"/>
              <w:ind w:left="159" w:right="195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1F13" w14:paraId="42E4BA9C" w14:textId="77777777">
        <w:trPr>
          <w:trHeight w:val="311"/>
        </w:trPr>
        <w:tc>
          <w:tcPr>
            <w:tcW w:w="0" w:type="auto"/>
          </w:tcPr>
          <w:p w14:paraId="7892261B" w14:textId="77777777" w:rsidR="000D1F13" w:rsidRDefault="00000000">
            <w:pPr>
              <w:pStyle w:val="TableParagraph"/>
              <w:spacing w:before="54" w:line="480" w:lineRule="auto"/>
              <w:ind w:right="3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ZY</w:t>
            </w:r>
          </w:p>
        </w:tc>
        <w:tc>
          <w:tcPr>
            <w:tcW w:w="0" w:type="auto"/>
          </w:tcPr>
          <w:p w14:paraId="19CCC08A" w14:textId="77777777" w:rsidR="000D1F13" w:rsidRDefault="00000000">
            <w:pPr>
              <w:pStyle w:val="TableParagraph"/>
              <w:spacing w:before="42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healthy control (no kidney impairment group)</w:t>
            </w:r>
          </w:p>
        </w:tc>
        <w:tc>
          <w:tcPr>
            <w:tcW w:w="0" w:type="auto"/>
          </w:tcPr>
          <w:p w14:paraId="5F0322CE" w14:textId="77777777" w:rsidR="000D1F13" w:rsidRDefault="00000000">
            <w:pPr>
              <w:pStyle w:val="TableParagraph"/>
              <w:spacing w:before="54" w:line="480" w:lineRule="auto"/>
              <w:ind w:right="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0" w:type="auto"/>
          </w:tcPr>
          <w:p w14:paraId="165B2D47" w14:textId="77777777" w:rsidR="000D1F13" w:rsidRDefault="000D1F13">
            <w:pPr>
              <w:pStyle w:val="TableParagraph"/>
              <w:spacing w:before="54" w:line="480" w:lineRule="auto"/>
              <w:ind w:left="159" w:right="195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1F13" w14:paraId="1791A1B7" w14:textId="77777777">
        <w:trPr>
          <w:trHeight w:val="312"/>
        </w:trPr>
        <w:tc>
          <w:tcPr>
            <w:tcW w:w="0" w:type="auto"/>
          </w:tcPr>
          <w:p w14:paraId="5BD7C6E4" w14:textId="77777777" w:rsidR="000D1F13" w:rsidRDefault="00000000">
            <w:pPr>
              <w:pStyle w:val="TableParagraph"/>
              <w:spacing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LWL</w:t>
            </w:r>
          </w:p>
        </w:tc>
        <w:tc>
          <w:tcPr>
            <w:tcW w:w="0" w:type="auto"/>
          </w:tcPr>
          <w:p w14:paraId="7FF5F8F5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healthy control (no kidney impairment group)</w:t>
            </w:r>
          </w:p>
        </w:tc>
        <w:tc>
          <w:tcPr>
            <w:tcW w:w="0" w:type="auto"/>
          </w:tcPr>
          <w:p w14:paraId="1A5CD0EF" w14:textId="77777777" w:rsidR="000D1F13" w:rsidRDefault="00000000">
            <w:pPr>
              <w:pStyle w:val="TableParagraph"/>
              <w:spacing w:line="480" w:lineRule="auto"/>
              <w:ind w:right="4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0" w:type="auto"/>
          </w:tcPr>
          <w:p w14:paraId="75C81319" w14:textId="77777777" w:rsidR="000D1F13" w:rsidRDefault="000D1F13">
            <w:pPr>
              <w:pStyle w:val="TableParagraph"/>
              <w:spacing w:line="480" w:lineRule="auto"/>
              <w:ind w:left="159" w:right="195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D1F13" w14:paraId="00D24009" w14:textId="77777777">
        <w:trPr>
          <w:trHeight w:val="311"/>
        </w:trPr>
        <w:tc>
          <w:tcPr>
            <w:tcW w:w="0" w:type="auto"/>
          </w:tcPr>
          <w:p w14:paraId="48F5B83B" w14:textId="77777777" w:rsidR="000D1F13" w:rsidRDefault="00000000">
            <w:pPr>
              <w:pStyle w:val="TableParagraph"/>
              <w:spacing w:line="480" w:lineRule="auto"/>
              <w:ind w:right="36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LL</w:t>
            </w:r>
          </w:p>
        </w:tc>
        <w:tc>
          <w:tcPr>
            <w:tcW w:w="0" w:type="auto"/>
          </w:tcPr>
          <w:p w14:paraId="15A9859B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Chronic kidney disease</w:t>
            </w:r>
            <w:r>
              <w:rPr>
                <w:rFonts w:ascii="Times New Roman" w:eastAsia="SimSun" w:hAnsi="Times New Roman"/>
                <w:sz w:val="24"/>
                <w:shd w:val="clear" w:color="auto" w:fill="FFFFFF"/>
              </w:rPr>
              <w:t xml:space="preserve"> (CKD) group</w:t>
            </w:r>
          </w:p>
        </w:tc>
        <w:tc>
          <w:tcPr>
            <w:tcW w:w="0" w:type="auto"/>
          </w:tcPr>
          <w:p w14:paraId="23773A71" w14:textId="77777777" w:rsidR="000D1F13" w:rsidRDefault="00000000">
            <w:pPr>
              <w:pStyle w:val="TableParagraph"/>
              <w:tabs>
                <w:tab w:val="center" w:pos="487"/>
              </w:tabs>
              <w:spacing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0" w:type="auto"/>
          </w:tcPr>
          <w:p w14:paraId="3009BE32" w14:textId="77777777" w:rsidR="000D1F13" w:rsidRDefault="00000000">
            <w:pPr>
              <w:pStyle w:val="TableParagraph"/>
              <w:spacing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G5</w:t>
            </w:r>
          </w:p>
        </w:tc>
      </w:tr>
      <w:tr w:rsidR="000D1F13" w14:paraId="4243AB92" w14:textId="77777777">
        <w:trPr>
          <w:trHeight w:val="312"/>
        </w:trPr>
        <w:tc>
          <w:tcPr>
            <w:tcW w:w="0" w:type="auto"/>
          </w:tcPr>
          <w:p w14:paraId="1CEF51C5" w14:textId="77777777" w:rsidR="000D1F13" w:rsidRDefault="00000000">
            <w:pPr>
              <w:pStyle w:val="TableParagraph"/>
              <w:spacing w:before="52" w:line="480" w:lineRule="auto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WY</w:t>
            </w:r>
            <w:r>
              <w:rPr>
                <w:rFonts w:ascii="Times New Roman" w:eastAsia="SimSun" w:hAnsi="Times New Roman"/>
                <w:sz w:val="24"/>
              </w:rPr>
              <w:t>A</w:t>
            </w:r>
          </w:p>
        </w:tc>
        <w:tc>
          <w:tcPr>
            <w:tcW w:w="0" w:type="auto"/>
          </w:tcPr>
          <w:p w14:paraId="2420A466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Chronic kidney disease</w:t>
            </w:r>
            <w:r>
              <w:rPr>
                <w:rFonts w:ascii="Times New Roman" w:eastAsia="SimSun" w:hAnsi="Times New Roman"/>
                <w:sz w:val="24"/>
                <w:shd w:val="clear" w:color="auto" w:fill="FFFFFF"/>
              </w:rPr>
              <w:t xml:space="preserve"> group</w:t>
            </w:r>
          </w:p>
        </w:tc>
        <w:tc>
          <w:tcPr>
            <w:tcW w:w="0" w:type="auto"/>
          </w:tcPr>
          <w:p w14:paraId="134F9405" w14:textId="77777777" w:rsidR="000D1F13" w:rsidRDefault="00000000">
            <w:pPr>
              <w:pStyle w:val="TableParagraph"/>
              <w:spacing w:before="52"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0" w:type="auto"/>
          </w:tcPr>
          <w:p w14:paraId="6EEE2D10" w14:textId="77777777" w:rsidR="000D1F13" w:rsidRDefault="00000000">
            <w:pPr>
              <w:pStyle w:val="TableParagraph"/>
              <w:spacing w:before="52"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G5</w:t>
            </w:r>
          </w:p>
        </w:tc>
      </w:tr>
      <w:tr w:rsidR="000D1F13" w14:paraId="6EBA552B" w14:textId="77777777">
        <w:trPr>
          <w:trHeight w:val="312"/>
        </w:trPr>
        <w:tc>
          <w:tcPr>
            <w:tcW w:w="0" w:type="auto"/>
          </w:tcPr>
          <w:p w14:paraId="3919DFB9" w14:textId="77777777" w:rsidR="000D1F13" w:rsidRDefault="00000000">
            <w:pPr>
              <w:pStyle w:val="TableParagraph"/>
              <w:spacing w:before="54"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YWH</w:t>
            </w:r>
          </w:p>
        </w:tc>
        <w:tc>
          <w:tcPr>
            <w:tcW w:w="0" w:type="auto"/>
          </w:tcPr>
          <w:p w14:paraId="30A89453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Chronic kidney disease</w:t>
            </w:r>
            <w:r>
              <w:rPr>
                <w:rFonts w:ascii="Times New Roman" w:eastAsia="SimSun" w:hAnsi="Times New Roman"/>
                <w:sz w:val="24"/>
                <w:shd w:val="clear" w:color="auto" w:fill="FFFFFF"/>
              </w:rPr>
              <w:t xml:space="preserve"> group</w:t>
            </w:r>
          </w:p>
        </w:tc>
        <w:tc>
          <w:tcPr>
            <w:tcW w:w="0" w:type="auto"/>
          </w:tcPr>
          <w:p w14:paraId="4E4EFF01" w14:textId="77777777" w:rsidR="000D1F13" w:rsidRDefault="00000000">
            <w:pPr>
              <w:pStyle w:val="TableParagraph"/>
              <w:spacing w:before="54"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</w:t>
            </w:r>
          </w:p>
        </w:tc>
        <w:tc>
          <w:tcPr>
            <w:tcW w:w="0" w:type="auto"/>
          </w:tcPr>
          <w:p w14:paraId="4799B4CF" w14:textId="77777777" w:rsidR="000D1F13" w:rsidRDefault="00000000">
            <w:pPr>
              <w:pStyle w:val="TableParagraph"/>
              <w:spacing w:before="54"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G5</w:t>
            </w:r>
          </w:p>
        </w:tc>
      </w:tr>
      <w:tr w:rsidR="000D1F13" w14:paraId="22C50684" w14:textId="77777777">
        <w:trPr>
          <w:trHeight w:val="311"/>
        </w:trPr>
        <w:tc>
          <w:tcPr>
            <w:tcW w:w="0" w:type="auto"/>
          </w:tcPr>
          <w:p w14:paraId="7D624901" w14:textId="77777777" w:rsidR="000D1F13" w:rsidRDefault="00000000">
            <w:pPr>
              <w:pStyle w:val="TableParagraph"/>
              <w:spacing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CM</w:t>
            </w:r>
          </w:p>
        </w:tc>
        <w:tc>
          <w:tcPr>
            <w:tcW w:w="0" w:type="auto"/>
          </w:tcPr>
          <w:p w14:paraId="3E97AB44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Diabetic nephropathy (DC) group</w:t>
            </w:r>
          </w:p>
        </w:tc>
        <w:tc>
          <w:tcPr>
            <w:tcW w:w="0" w:type="auto"/>
          </w:tcPr>
          <w:p w14:paraId="5B922BF0" w14:textId="77777777" w:rsidR="000D1F13" w:rsidRDefault="00000000">
            <w:pPr>
              <w:pStyle w:val="TableParagraph"/>
              <w:spacing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0" w:type="auto"/>
          </w:tcPr>
          <w:p w14:paraId="11AC8708" w14:textId="77777777" w:rsidR="000D1F13" w:rsidRDefault="00000000">
            <w:pPr>
              <w:pStyle w:val="TableParagraph"/>
              <w:spacing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G4</w:t>
            </w:r>
          </w:p>
        </w:tc>
      </w:tr>
      <w:tr w:rsidR="000D1F13" w14:paraId="507B823D" w14:textId="77777777">
        <w:trPr>
          <w:trHeight w:val="312"/>
        </w:trPr>
        <w:tc>
          <w:tcPr>
            <w:tcW w:w="0" w:type="auto"/>
          </w:tcPr>
          <w:p w14:paraId="7B97A9CD" w14:textId="77777777" w:rsidR="000D1F13" w:rsidRDefault="00000000">
            <w:pPr>
              <w:pStyle w:val="TableParagraph"/>
              <w:spacing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CYQ</w:t>
            </w:r>
          </w:p>
        </w:tc>
        <w:tc>
          <w:tcPr>
            <w:tcW w:w="0" w:type="auto"/>
          </w:tcPr>
          <w:p w14:paraId="045A11FD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Diabetic nephropathy group</w:t>
            </w:r>
          </w:p>
        </w:tc>
        <w:tc>
          <w:tcPr>
            <w:tcW w:w="0" w:type="auto"/>
          </w:tcPr>
          <w:p w14:paraId="0E70DBC6" w14:textId="77777777" w:rsidR="000D1F13" w:rsidRDefault="00000000">
            <w:pPr>
              <w:pStyle w:val="TableParagraph"/>
              <w:spacing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0" w:type="auto"/>
          </w:tcPr>
          <w:p w14:paraId="1AABEBA3" w14:textId="77777777" w:rsidR="000D1F13" w:rsidRDefault="00000000">
            <w:pPr>
              <w:pStyle w:val="TableParagraph"/>
              <w:spacing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G5</w:t>
            </w:r>
          </w:p>
        </w:tc>
      </w:tr>
      <w:tr w:rsidR="000D1F13" w14:paraId="6A5A0AAF" w14:textId="77777777">
        <w:trPr>
          <w:trHeight w:val="311"/>
        </w:trPr>
        <w:tc>
          <w:tcPr>
            <w:tcW w:w="0" w:type="auto"/>
          </w:tcPr>
          <w:p w14:paraId="2D403694" w14:textId="77777777" w:rsidR="000D1F13" w:rsidRDefault="00000000">
            <w:pPr>
              <w:pStyle w:val="TableParagraph"/>
              <w:spacing w:before="52" w:line="48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HDM</w:t>
            </w:r>
          </w:p>
        </w:tc>
        <w:tc>
          <w:tcPr>
            <w:tcW w:w="0" w:type="auto"/>
          </w:tcPr>
          <w:p w14:paraId="137A8C22" w14:textId="77777777" w:rsidR="000D1F13" w:rsidRDefault="00000000">
            <w:pPr>
              <w:pStyle w:val="TableParagraph"/>
              <w:spacing w:before="41" w:line="480" w:lineRule="auto"/>
              <w:ind w:left="106" w:right="106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Diabetic nephropathy group</w:t>
            </w:r>
          </w:p>
        </w:tc>
        <w:tc>
          <w:tcPr>
            <w:tcW w:w="0" w:type="auto"/>
          </w:tcPr>
          <w:p w14:paraId="5F5EA8F3" w14:textId="77777777" w:rsidR="000D1F13" w:rsidRDefault="00000000">
            <w:pPr>
              <w:pStyle w:val="TableParagraph"/>
              <w:spacing w:before="52" w:line="480" w:lineRule="auto"/>
              <w:ind w:right="4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0" w:type="auto"/>
          </w:tcPr>
          <w:p w14:paraId="4D845FBF" w14:textId="77777777" w:rsidR="000D1F13" w:rsidRDefault="00000000">
            <w:pPr>
              <w:pStyle w:val="TableParagraph"/>
              <w:spacing w:before="52" w:line="480" w:lineRule="auto"/>
              <w:ind w:left="159" w:right="195"/>
              <w:jc w:val="both"/>
              <w:rPr>
                <w:rFonts w:ascii="Times New Roman" w:eastAsia="SimSun" w:hAnsi="Times New Roman"/>
                <w:sz w:val="24"/>
              </w:rPr>
            </w:pPr>
            <w:r>
              <w:rPr>
                <w:rFonts w:ascii="Times New Roman" w:eastAsia="SimSun" w:hAnsi="Times New Roman"/>
                <w:sz w:val="24"/>
              </w:rPr>
              <w:t>G5</w:t>
            </w:r>
          </w:p>
        </w:tc>
      </w:tr>
    </w:tbl>
    <w:p w14:paraId="1B58D5C9" w14:textId="77777777" w:rsidR="000D1F13" w:rsidRDefault="000D1F13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</w:p>
    <w:p w14:paraId="3A0E3D50" w14:textId="77777777" w:rsidR="000D1F13" w:rsidRDefault="000D1F13">
      <w:pPr>
        <w:spacing w:line="480" w:lineRule="auto"/>
        <w:rPr>
          <w:rFonts w:ascii="Times New Roman" w:hAnsi="Times New Roman"/>
          <w:b/>
          <w:sz w:val="24"/>
          <w:shd w:val="clear" w:color="auto" w:fill="FFFFFF"/>
        </w:rPr>
      </w:pPr>
    </w:p>
    <w:p w14:paraId="4F52EFDE" w14:textId="77777777" w:rsidR="000D1F13" w:rsidRDefault="00000000">
      <w:pPr>
        <w:rPr>
          <w:rFonts w:ascii="Times New Roman" w:hAnsi="Times New Roman"/>
          <w:b/>
          <w:sz w:val="24"/>
          <w:shd w:val="clear" w:color="auto" w:fill="FFFFFF"/>
        </w:rPr>
      </w:pPr>
      <w:bookmarkStart w:id="0" w:name="OLE_LINK1"/>
      <w:r>
        <w:rPr>
          <w:rFonts w:ascii="Times New Roman" w:hAnsi="Times New Roman"/>
          <w:b/>
          <w:sz w:val="24"/>
          <w:shd w:val="clear" w:color="auto" w:fill="FFFFFF"/>
        </w:rPr>
        <w:br w:type="page"/>
      </w:r>
    </w:p>
    <w:p w14:paraId="3BC8EE44" w14:textId="77777777" w:rsidR="000D1F13" w:rsidRDefault="00000000">
      <w:pPr>
        <w:spacing w:line="480" w:lineRule="auto"/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Table </w:t>
      </w:r>
      <w:r>
        <w:rPr>
          <w:rFonts w:ascii="Times New Roman" w:hAnsi="Times New Roman" w:hint="eastAsia"/>
          <w:b/>
          <w:sz w:val="24"/>
          <w:shd w:val="clear" w:color="auto" w:fill="FFFFFF"/>
        </w:rPr>
        <w:t>2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bookmarkEnd w:id="0"/>
      <w:r>
        <w:rPr>
          <w:rFonts w:ascii="Times New Roman" w:hAnsi="Times New Roman"/>
          <w:b/>
          <w:sz w:val="24"/>
          <w:shd w:val="clear" w:color="auto" w:fill="FFFFFF"/>
        </w:rPr>
        <w:t>The bioinformatics tools and databases used in this study</w:t>
      </w:r>
    </w:p>
    <w:tbl>
      <w:tblPr>
        <w:tblW w:w="8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42"/>
        <w:gridCol w:w="6987"/>
      </w:tblGrid>
      <w:tr w:rsidR="000D1F13" w14:paraId="55F92252" w14:textId="77777777">
        <w:trPr>
          <w:trHeight w:val="300"/>
        </w:trPr>
        <w:tc>
          <w:tcPr>
            <w:tcW w:w="14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697FA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Name of the database</w:t>
            </w:r>
            <w:r>
              <w:rPr>
                <w:rFonts w:ascii="Times New Roman" w:eastAsia="Times New Roman" w:hAnsi="Times New Roman" w:hint="eastAsia"/>
                <w:szCs w:val="21"/>
              </w:rPr>
              <w:t xml:space="preserve"> or t</w:t>
            </w:r>
            <w:r>
              <w:rPr>
                <w:rFonts w:ascii="Times New Roman" w:eastAsia="Times New Roman" w:hAnsi="Times New Roman"/>
                <w:szCs w:val="21"/>
              </w:rPr>
              <w:t>ools</w:t>
            </w:r>
          </w:p>
        </w:tc>
        <w:tc>
          <w:tcPr>
            <w:tcW w:w="69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2A7B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 xml:space="preserve">Functions and </w:t>
            </w:r>
            <w:r>
              <w:rPr>
                <w:rFonts w:ascii="Times New Roman" w:eastAsia="Times New Roman" w:hAnsi="Times New Roman" w:hint="eastAsia"/>
                <w:szCs w:val="21"/>
              </w:rPr>
              <w:t>u</w:t>
            </w:r>
            <w:r>
              <w:rPr>
                <w:rFonts w:ascii="Times New Roman" w:eastAsia="Times New Roman" w:hAnsi="Times New Roman"/>
                <w:szCs w:val="21"/>
              </w:rPr>
              <w:t>ses</w:t>
            </w:r>
          </w:p>
        </w:tc>
      </w:tr>
      <w:tr w:rsidR="000D1F13" w14:paraId="2C1CE6D0" w14:textId="77777777">
        <w:trPr>
          <w:trHeight w:val="300"/>
        </w:trPr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693E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CellRanger</w:t>
            </w:r>
            <w:proofErr w:type="spellEnd"/>
          </w:p>
        </w:tc>
        <w:tc>
          <w:tcPr>
            <w:tcW w:w="6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414BF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 xml:space="preserve">The official software of 10x Genomics is used for alignment, UMI counting and gene expression quantification of </w:t>
            </w:r>
            <w:proofErr w:type="gramStart"/>
            <w:r>
              <w:rPr>
                <w:rFonts w:ascii="Times New Roman" w:eastAsia="Times New Roman" w:hAnsi="Times New Roman"/>
                <w:szCs w:val="21"/>
              </w:rPr>
              <w:t>single-cell</w:t>
            </w:r>
            <w:proofErr w:type="gramEnd"/>
            <w:r>
              <w:rPr>
                <w:rFonts w:ascii="Times New Roman" w:eastAsia="Times New Roman" w:hAnsi="Times New Roman"/>
                <w:szCs w:val="21"/>
              </w:rPr>
              <w:t xml:space="preserve"> sequencing data</w:t>
            </w:r>
          </w:p>
        </w:tc>
      </w:tr>
      <w:tr w:rsidR="000D1F13" w14:paraId="585EF233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F841D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Seurat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C427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The core single-cell data analysis tool supports data quality control, standardization, dimensionality reduction, clustering and differential expression analysis</w:t>
            </w:r>
          </w:p>
        </w:tc>
      </w:tr>
      <w:tr w:rsidR="000D1F13" w14:paraId="48E45EDA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6AFD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Scater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B4B4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Single-cell data quality control, including outlier detection and visualization</w:t>
            </w:r>
          </w:p>
        </w:tc>
      </w:tr>
      <w:tr w:rsidR="000D1F13" w14:paraId="23E6C1E8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7AC8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scDblFinder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2C75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Detect doublet cells and filter low-quality cells by probability score</w:t>
            </w:r>
          </w:p>
        </w:tc>
      </w:tr>
      <w:tr w:rsidR="000D1F13" w14:paraId="5893C2DF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99E9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SingleR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5373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Automatic annotation tool for cell types based on reference data sets</w:t>
            </w:r>
          </w:p>
        </w:tc>
      </w:tr>
      <w:tr w:rsidR="000D1F13" w14:paraId="5BC96159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7BDF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CellMarker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F046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Artificially curated database of cell type markers to assist in manual correction of cell groups</w:t>
            </w:r>
          </w:p>
        </w:tc>
      </w:tr>
      <w:tr w:rsidR="000D1F13" w14:paraId="413099F3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8836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Monocle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6BC3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pseudotime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 xml:space="preserve"> analysis reveals cell differentiation trajectories and gene expression dynamics</w:t>
            </w:r>
          </w:p>
        </w:tc>
      </w:tr>
      <w:tr w:rsidR="000D1F13" w14:paraId="6F8DC9BB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EC9D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clusterProfiler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1BFF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GO/KEGG enrichment analysis to identify the biological functions and pathways of differential genes</w:t>
            </w:r>
          </w:p>
        </w:tc>
      </w:tr>
      <w:tr w:rsidR="000D1F13" w14:paraId="63BE0297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10B5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Cytoscape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C282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 xml:space="preserve">Visualize PPI networks with integrated plug-ins (e.g. MCODE, </w:t>
            </w:r>
            <w:proofErr w:type="spellStart"/>
            <w:r>
              <w:rPr>
                <w:rFonts w:ascii="Times New Roman" w:eastAsia="Times New Roman" w:hAnsi="Times New Roman"/>
                <w:szCs w:val="21"/>
              </w:rPr>
              <w:t>cytoHubba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>) for module analysis and hub gene screening</w:t>
            </w:r>
          </w:p>
        </w:tc>
      </w:tr>
      <w:tr w:rsidR="000D1F13" w14:paraId="02D99C73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6363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ggplot2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9DFC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Draw high quality visual charts such as box plots and heat maps</w:t>
            </w:r>
          </w:p>
        </w:tc>
      </w:tr>
      <w:tr w:rsidR="000D1F13" w14:paraId="7376C6EC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3972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pheatmap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9C56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Heat map rendering, support for clustering and annotation</w:t>
            </w:r>
          </w:p>
        </w:tc>
      </w:tr>
      <w:tr w:rsidR="000D1F13" w14:paraId="1B803A94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A490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Venn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FECE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Drawing a Venn diagram, showing the intersection of gene sets</w:t>
            </w:r>
          </w:p>
        </w:tc>
      </w:tr>
      <w:tr w:rsidR="000D1F13" w14:paraId="752450D7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3FF6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SPEED2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90E3F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Inferring gene upstream pathway activity and evaluating pathway changes in disease</w:t>
            </w:r>
          </w:p>
        </w:tc>
      </w:tr>
      <w:tr w:rsidR="000D1F13" w14:paraId="4195C3FD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E2CA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GTEx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 xml:space="preserve"> Portal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4203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Query the expression level of genes in different tissues (TPM value)</w:t>
            </w:r>
          </w:p>
        </w:tc>
      </w:tr>
      <w:tr w:rsidR="000D1F13" w14:paraId="43AC2867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961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KEGG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7517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Pathway enrichment analysis, provide metabolic pathways, signaling pathways and other annotations</w:t>
            </w:r>
          </w:p>
        </w:tc>
      </w:tr>
      <w:tr w:rsidR="000D1F13" w14:paraId="7BE8048D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D4C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GO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DBC9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Genetic ontological analysis, including biological processes (BP), molecular functions (MF), and cell components (CC)</w:t>
            </w:r>
          </w:p>
        </w:tc>
      </w:tr>
      <w:tr w:rsidR="000D1F13" w14:paraId="584D4F94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39B6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CellMarker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E3E0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Cell type marker database for manual correction of single cell taxa</w:t>
            </w:r>
          </w:p>
        </w:tc>
      </w:tr>
      <w:tr w:rsidR="000D1F13" w14:paraId="491516CC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2C8D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GTEx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FC56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Tissue-specific expression database to analyze gene expression patterns in different tissues</w:t>
            </w:r>
          </w:p>
        </w:tc>
      </w:tr>
      <w:tr w:rsidR="000D1F13" w14:paraId="735C32B9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7F2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STRING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2DC59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Construction and functional prediction of protein-protein interaction networks</w:t>
            </w:r>
          </w:p>
        </w:tc>
      </w:tr>
      <w:tr w:rsidR="000D1F13" w14:paraId="35FD555D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2CEB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UniProt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1A89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Protein sequence and functional annotation, supporting the resolution of receptor-ligand pairs (cell Phone EDB dependent)</w:t>
            </w:r>
          </w:p>
        </w:tc>
      </w:tr>
      <w:tr w:rsidR="000D1F13" w14:paraId="14252230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0A6B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CTD</w:t>
            </w:r>
          </w:p>
        </w:tc>
        <w:tc>
          <w:tcPr>
            <w:tcW w:w="6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148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Chemical-gene-disease association database for predicting drug targets and related diseases</w:t>
            </w:r>
          </w:p>
        </w:tc>
      </w:tr>
      <w:tr w:rsidR="000D1F13" w14:paraId="5B01D411" w14:textId="77777777">
        <w:trPr>
          <w:trHeight w:val="300"/>
        </w:trPr>
        <w:tc>
          <w:tcPr>
            <w:tcW w:w="14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9D462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 xml:space="preserve">GSEA </w:t>
            </w:r>
            <w:proofErr w:type="spellStart"/>
            <w:r>
              <w:rPr>
                <w:rFonts w:ascii="Times New Roman" w:eastAsia="Times New Roman" w:hAnsi="Times New Roman"/>
                <w:szCs w:val="21"/>
              </w:rPr>
              <w:t>MSigDB</w:t>
            </w:r>
            <w:proofErr w:type="spellEnd"/>
          </w:p>
        </w:tc>
        <w:tc>
          <w:tcPr>
            <w:tcW w:w="69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F9A3C2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Gene set enrichment analysis, providing hallmark pathway and custom gene set</w:t>
            </w:r>
          </w:p>
        </w:tc>
      </w:tr>
    </w:tbl>
    <w:p w14:paraId="703189C8" w14:textId="77777777" w:rsidR="000D1F13" w:rsidRDefault="00000000">
      <w:pPr>
        <w:spacing w:line="360" w:lineRule="auto"/>
        <w:rPr>
          <w:rFonts w:ascii="Times New Roman" w:hAnsi="Times New Roman"/>
          <w:sz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hint="eastAsia"/>
          <w:sz w:val="24"/>
          <w:shd w:val="clear" w:color="auto" w:fill="FFFFFF"/>
        </w:rPr>
        <w:t>GO:Gene</w:t>
      </w:r>
      <w:proofErr w:type="spellEnd"/>
      <w:proofErr w:type="gramEnd"/>
      <w:r>
        <w:rPr>
          <w:rFonts w:ascii="Times New Roman" w:hAnsi="Times New Roman" w:hint="eastAsia"/>
          <w:sz w:val="24"/>
          <w:shd w:val="clear" w:color="auto" w:fill="FFFFFF"/>
        </w:rPr>
        <w:t xml:space="preserve"> Ontology; KEGG: Kyoto Encyclopedia of Genes and Genomes; GSEA: </w:t>
      </w:r>
      <w:r>
        <w:rPr>
          <w:rFonts w:ascii="Times New Roman" w:hAnsi="Times New Roman" w:hint="eastAsia"/>
          <w:sz w:val="24"/>
          <w:shd w:val="clear" w:color="auto" w:fill="FFFFFF"/>
        </w:rPr>
        <w:lastRenderedPageBreak/>
        <w:t>gene set enrichment analysis</w:t>
      </w:r>
    </w:p>
    <w:p w14:paraId="377FB64B" w14:textId="77777777" w:rsidR="000D1F13" w:rsidRDefault="00000000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Table </w:t>
      </w:r>
      <w:r>
        <w:rPr>
          <w:rFonts w:ascii="Times New Roman" w:hAnsi="Times New Roman" w:hint="eastAsia"/>
          <w:b/>
          <w:sz w:val="24"/>
          <w:shd w:val="clear" w:color="auto" w:fill="FFFFFF"/>
        </w:rPr>
        <w:t>3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Raw data statistics</w:t>
      </w:r>
    </w:p>
    <w:tbl>
      <w:tblPr>
        <w:tblW w:w="6008" w:type="dxa"/>
        <w:tblInd w:w="98" w:type="dxa"/>
        <w:tblLook w:val="04A0" w:firstRow="1" w:lastRow="0" w:firstColumn="1" w:lastColumn="0" w:noHBand="0" w:noVBand="1"/>
      </w:tblPr>
      <w:tblGrid>
        <w:gridCol w:w="846"/>
        <w:gridCol w:w="1266"/>
        <w:gridCol w:w="1905"/>
        <w:gridCol w:w="823"/>
        <w:gridCol w:w="893"/>
        <w:gridCol w:w="893"/>
      </w:tblGrid>
      <w:tr w:rsidR="000D1F13" w14:paraId="55FBEBAD" w14:textId="77777777">
        <w:trPr>
          <w:trHeight w:val="720"/>
        </w:trPr>
        <w:tc>
          <w:tcPr>
            <w:tcW w:w="79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39811FCE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Sample ID</w:t>
            </w:r>
          </w:p>
        </w:tc>
        <w:tc>
          <w:tcPr>
            <w:tcW w:w="111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29AE0365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</w:t>
            </w:r>
          </w:p>
        </w:tc>
        <w:tc>
          <w:tcPr>
            <w:tcW w:w="166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3C50034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Cs w:val="21"/>
              </w:rPr>
              <w:t>Total_</w:t>
            </w:r>
            <w:proofErr w:type="gramStart"/>
            <w:r>
              <w:rPr>
                <w:rFonts w:ascii="Times New Roman" w:eastAsia="Times New Roman" w:hAnsi="Times New Roman"/>
                <w:szCs w:val="21"/>
              </w:rPr>
              <w:t>base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szCs w:val="21"/>
              </w:rPr>
              <w:t>Mbases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>)</w:t>
            </w:r>
          </w:p>
        </w:tc>
        <w:tc>
          <w:tcPr>
            <w:tcW w:w="77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7A57B73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proofErr w:type="gramStart"/>
            <w:r>
              <w:rPr>
                <w:rFonts w:ascii="Times New Roman" w:eastAsia="Times New Roman" w:hAnsi="Times New Roman"/>
                <w:szCs w:val="21"/>
              </w:rPr>
              <w:t>GC(</w:t>
            </w:r>
            <w:proofErr w:type="gramEnd"/>
            <w:r>
              <w:rPr>
                <w:rFonts w:ascii="Times New Roman" w:eastAsia="Times New Roman" w:hAnsi="Times New Roman"/>
                <w:szCs w:val="21"/>
              </w:rPr>
              <w:t>%)</w:t>
            </w:r>
          </w:p>
        </w:tc>
        <w:tc>
          <w:tcPr>
            <w:tcW w:w="8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727D92DC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Q20(%)</w:t>
            </w:r>
          </w:p>
        </w:tc>
        <w:tc>
          <w:tcPr>
            <w:tcW w:w="82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567808F1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Q30(%)</w:t>
            </w:r>
          </w:p>
        </w:tc>
      </w:tr>
      <w:tr w:rsidR="000D1F13" w14:paraId="6D9423FF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D3BCB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ZY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3B9C76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322,317,688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EE19C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97,339.94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60E3DA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36.52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2113E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84.16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2C3257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76.51</w:t>
            </w:r>
          </w:p>
        </w:tc>
      </w:tr>
      <w:tr w:rsidR="000D1F13" w14:paraId="7A595447" w14:textId="77777777">
        <w:trPr>
          <w:trHeight w:val="295"/>
        </w:trPr>
        <w:tc>
          <w:tcPr>
            <w:tcW w:w="795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735D928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CM</w:t>
            </w:r>
          </w:p>
        </w:tc>
        <w:tc>
          <w:tcPr>
            <w:tcW w:w="1116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17D8C68D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327,505,686</w:t>
            </w:r>
          </w:p>
        </w:tc>
        <w:tc>
          <w:tcPr>
            <w:tcW w:w="1663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245BBBA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98,906.72</w:t>
            </w:r>
          </w:p>
        </w:tc>
        <w:tc>
          <w:tcPr>
            <w:tcW w:w="778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83FCAB9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36.53</w:t>
            </w:r>
          </w:p>
        </w:tc>
        <w:tc>
          <w:tcPr>
            <w:tcW w:w="828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2511AA9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84.16</w:t>
            </w:r>
          </w:p>
        </w:tc>
        <w:tc>
          <w:tcPr>
            <w:tcW w:w="828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3C789E2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76.59</w:t>
            </w:r>
          </w:p>
        </w:tc>
      </w:tr>
      <w:tr w:rsidR="000D1F13" w14:paraId="4F6F3AE5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0031483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LL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2136D503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342,927,235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F968B63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112,026.10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D6E30C0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40.05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7512325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85.23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2EBE23C6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77.99</w:t>
            </w:r>
          </w:p>
        </w:tc>
      </w:tr>
      <w:tr w:rsidR="000D1F13" w14:paraId="4CC9117D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9334678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YYF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3F235D49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273,875,602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ABE7E61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101,374.70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0903264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37.35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8E15AB9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82.46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862439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74.44</w:t>
            </w:r>
          </w:p>
        </w:tc>
      </w:tr>
      <w:tr w:rsidR="000D1F13" w14:paraId="146702A2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8B0C35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YWH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104400FC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348,124,333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1BE6857C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105,133.60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59BB9E4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37.03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237437B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82.75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D24B600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74.86</w:t>
            </w:r>
          </w:p>
        </w:tc>
      </w:tr>
      <w:tr w:rsidR="000D1F13" w14:paraId="6034DFB6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EDCB227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WYA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03AB6FF1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308,782,134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2F227F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93,252.20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EF54B5B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37.37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2358ED94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83.77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259F02A3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75.84</w:t>
            </w:r>
          </w:p>
        </w:tc>
      </w:tr>
      <w:tr w:rsidR="000D1F13" w14:paraId="40ECB26D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777214E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LWL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045A585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327,999,453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AEBC6A4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99,055.84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72306DEC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36.87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46F5E9C0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82.85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63153DB2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75.14</w:t>
            </w:r>
          </w:p>
        </w:tc>
      </w:tr>
      <w:tr w:rsidR="000D1F13" w14:paraId="1066B9FE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385D47E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HDM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035B7E5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336,702,161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37DCA907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101,684.06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274D4D68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35.93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5B9F5CC8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84.12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</w:tcPr>
          <w:p w14:paraId="0BB741D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76.27</w:t>
            </w:r>
          </w:p>
        </w:tc>
      </w:tr>
      <w:tr w:rsidR="000D1F13" w14:paraId="4C7F9F33" w14:textId="77777777">
        <w:trPr>
          <w:trHeight w:val="295"/>
        </w:trPr>
        <w:tc>
          <w:tcPr>
            <w:tcW w:w="7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4FF9FEAB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CYQ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44ABC535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308,027,053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0CB948FD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93,024.18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3B31D75F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36.82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0220199A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84.12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2482E45E" w14:textId="77777777" w:rsidR="000D1F13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76.22</w:t>
            </w:r>
          </w:p>
        </w:tc>
      </w:tr>
    </w:tbl>
    <w:p w14:paraId="570B4915" w14:textId="77777777" w:rsidR="000D1F13" w:rsidRDefault="00000000">
      <w:pPr>
        <w:spacing w:line="36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Reads: Total number of sequences in the </w:t>
      </w:r>
      <w:r>
        <w:rPr>
          <w:rFonts w:ascii="Times New Roman" w:eastAsia="Segoe UI" w:hAnsi="Times New Roman"/>
          <w:sz w:val="24"/>
          <w:shd w:val="clear" w:color="auto" w:fill="FFFFFF"/>
        </w:rPr>
        <w:t>raw</w:t>
      </w:r>
      <w:r>
        <w:rPr>
          <w:rFonts w:ascii="Times New Roman" w:hAnsi="Times New Roman"/>
          <w:sz w:val="24"/>
          <w:shd w:val="clear" w:color="auto" w:fill="FFFFFF"/>
        </w:rPr>
        <w:t xml:space="preserve"> data: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Total_base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Mbases</w:t>
      </w:r>
      <w:proofErr w:type="spellEnd"/>
      <w:r>
        <w:rPr>
          <w:rFonts w:ascii="Times New Roman" w:eastAsia="Segoe UI" w:hAnsi="Times New Roman"/>
          <w:sz w:val="24"/>
          <w:shd w:val="clear" w:color="auto" w:fill="FFFFFF"/>
        </w:rPr>
        <w:t>): the</w:t>
      </w:r>
      <w:r>
        <w:rPr>
          <w:rFonts w:ascii="Times New Roman" w:hAnsi="Times New Roman"/>
          <w:sz w:val="24"/>
          <w:shd w:val="clear" w:color="auto" w:fill="FFFFFF"/>
        </w:rPr>
        <w:t xml:space="preserve"> total number of bases in the </w:t>
      </w:r>
      <w:r>
        <w:rPr>
          <w:rFonts w:ascii="Times New Roman" w:eastAsia="Segoe UI" w:hAnsi="Times New Roman"/>
          <w:sz w:val="24"/>
          <w:shd w:val="clear" w:color="auto" w:fill="FFFFFF"/>
        </w:rPr>
        <w:t>raw</w:t>
      </w:r>
      <w:r>
        <w:rPr>
          <w:rFonts w:ascii="Times New Roman" w:hAnsi="Times New Roman"/>
          <w:sz w:val="24"/>
          <w:shd w:val="clear" w:color="auto" w:fill="FFFFFF"/>
        </w:rPr>
        <w:t xml:space="preserve"> data; GC </w:t>
      </w:r>
      <w:r>
        <w:rPr>
          <w:rFonts w:ascii="Times New Roman" w:eastAsia="Segoe UI" w:hAnsi="Times New Roman"/>
          <w:sz w:val="24"/>
          <w:shd w:val="clear" w:color="auto" w:fill="FFFFFF"/>
        </w:rPr>
        <w:t>(%):</w:t>
      </w:r>
      <w:r>
        <w:rPr>
          <w:rFonts w:ascii="Times New Roman" w:hAnsi="Times New Roman"/>
          <w:sz w:val="24"/>
          <w:shd w:val="clear" w:color="auto" w:fill="FFFFFF"/>
        </w:rPr>
        <w:t xml:space="preserve"> the </w:t>
      </w:r>
      <w:r>
        <w:rPr>
          <w:rFonts w:ascii="Times New Roman" w:eastAsia="Segoe UI" w:hAnsi="Times New Roman"/>
          <w:sz w:val="24"/>
          <w:shd w:val="clear" w:color="auto" w:fill="FFFFFF"/>
        </w:rPr>
        <w:t>proportion</w:t>
      </w:r>
      <w:r>
        <w:rPr>
          <w:rFonts w:ascii="Times New Roman" w:hAnsi="Times New Roman"/>
          <w:sz w:val="24"/>
          <w:shd w:val="clear" w:color="auto" w:fill="FFFFFF"/>
        </w:rPr>
        <w:t xml:space="preserve"> of G and C bases in the total </w:t>
      </w:r>
      <w:r>
        <w:rPr>
          <w:rFonts w:ascii="Times New Roman" w:eastAsia="Segoe UI" w:hAnsi="Times New Roman"/>
          <w:sz w:val="24"/>
          <w:shd w:val="clear" w:color="auto" w:fill="FFFFFF"/>
        </w:rPr>
        <w:t>bases of</w:t>
      </w:r>
      <w:r>
        <w:rPr>
          <w:rFonts w:ascii="Times New Roman" w:hAnsi="Times New Roman"/>
          <w:sz w:val="24"/>
          <w:shd w:val="clear" w:color="auto" w:fill="FFFFFF"/>
        </w:rPr>
        <w:t xml:space="preserve"> the </w:t>
      </w:r>
      <w:r>
        <w:rPr>
          <w:rFonts w:ascii="Times New Roman" w:eastAsia="Segoe UI" w:hAnsi="Times New Roman"/>
          <w:sz w:val="24"/>
          <w:shd w:val="clear" w:color="auto" w:fill="FFFFFF"/>
        </w:rPr>
        <w:t>raw</w:t>
      </w:r>
      <w:r>
        <w:rPr>
          <w:rFonts w:ascii="Times New Roman" w:hAnsi="Times New Roman"/>
          <w:sz w:val="24"/>
          <w:shd w:val="clear" w:color="auto" w:fill="FFFFFF"/>
        </w:rPr>
        <w:t xml:space="preserve"> data; Q20 </w:t>
      </w:r>
      <w:r>
        <w:rPr>
          <w:rFonts w:ascii="Times New Roman" w:eastAsia="Segoe UI" w:hAnsi="Times New Roman"/>
          <w:sz w:val="24"/>
          <w:shd w:val="clear" w:color="auto" w:fill="FFFFFF"/>
        </w:rPr>
        <w:t>(%): 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in the </w:t>
      </w:r>
      <w:r>
        <w:rPr>
          <w:rFonts w:ascii="Times New Roman" w:eastAsia="Segoe UI" w:hAnsi="Times New Roman"/>
          <w:sz w:val="24"/>
          <w:shd w:val="clear" w:color="auto" w:fill="FFFFFF"/>
        </w:rPr>
        <w:t>raw</w:t>
      </w:r>
      <w:r>
        <w:rPr>
          <w:rFonts w:ascii="Times New Roman" w:hAnsi="Times New Roman"/>
          <w:sz w:val="24"/>
          <w:shd w:val="clear" w:color="auto" w:fill="FFFFFF"/>
        </w:rPr>
        <w:t xml:space="preserve"> data with a mass </w:t>
      </w:r>
      <w:r>
        <w:rPr>
          <w:rFonts w:ascii="Times New Roman" w:eastAsia="Segoe UI" w:hAnsi="Times New Roman"/>
          <w:sz w:val="24"/>
          <w:shd w:val="clear" w:color="auto" w:fill="FFFFFF"/>
        </w:rPr>
        <w:t>score</w:t>
      </w:r>
      <w:r>
        <w:rPr>
          <w:rFonts w:ascii="Times New Roman" w:hAnsi="Times New Roman"/>
          <w:sz w:val="24"/>
          <w:shd w:val="clear" w:color="auto" w:fill="FFFFFF"/>
        </w:rPr>
        <w:t xml:space="preserve"> greater than or equal to 20; Q30 </w:t>
      </w:r>
      <w:r>
        <w:rPr>
          <w:rFonts w:ascii="Times New Roman" w:eastAsia="Segoe UI" w:hAnsi="Times New Roman"/>
          <w:sz w:val="24"/>
          <w:shd w:val="clear" w:color="auto" w:fill="FFFFFF"/>
        </w:rPr>
        <w:t>(%): 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in the </w:t>
      </w:r>
      <w:r>
        <w:rPr>
          <w:rFonts w:ascii="Times New Roman" w:eastAsia="Segoe UI" w:hAnsi="Times New Roman"/>
          <w:sz w:val="24"/>
          <w:shd w:val="clear" w:color="auto" w:fill="FFFFFF"/>
        </w:rPr>
        <w:t>raw</w:t>
      </w:r>
      <w:r>
        <w:rPr>
          <w:rFonts w:ascii="Times New Roman" w:hAnsi="Times New Roman"/>
          <w:sz w:val="24"/>
          <w:shd w:val="clear" w:color="auto" w:fill="FFFFFF"/>
        </w:rPr>
        <w:t xml:space="preserve"> data with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a </w:t>
      </w:r>
      <w:r>
        <w:rPr>
          <w:rFonts w:ascii="Times New Roman" w:hAnsi="Times New Roman"/>
          <w:sz w:val="24"/>
          <w:shd w:val="clear" w:color="auto" w:fill="FFFFFF"/>
        </w:rPr>
        <w:t xml:space="preserve">mass </w:t>
      </w:r>
      <w:r>
        <w:rPr>
          <w:rFonts w:ascii="Times New Roman" w:eastAsia="Segoe UI" w:hAnsi="Times New Roman"/>
          <w:sz w:val="24"/>
          <w:shd w:val="clear" w:color="auto" w:fill="FFFFFF"/>
        </w:rPr>
        <w:t>score</w:t>
      </w:r>
      <w:r>
        <w:rPr>
          <w:rFonts w:ascii="Times New Roman" w:hAnsi="Times New Roman"/>
          <w:sz w:val="24"/>
          <w:shd w:val="clear" w:color="auto" w:fill="FFFFFF"/>
        </w:rPr>
        <w:t xml:space="preserve"> greater than or equal to 30. Both Q20 and Q30 </w:t>
      </w:r>
      <w:r>
        <w:rPr>
          <w:rFonts w:ascii="Times New Roman" w:eastAsia="Segoe UI" w:hAnsi="Times New Roman"/>
          <w:sz w:val="24"/>
          <w:shd w:val="clear" w:color="auto" w:fill="FFFFFF"/>
        </w:rPr>
        <w:t>are</w:t>
      </w:r>
      <w:r>
        <w:rPr>
          <w:rFonts w:ascii="Times New Roman" w:hAnsi="Times New Roman"/>
          <w:sz w:val="24"/>
          <w:shd w:val="clear" w:color="auto" w:fill="FFFFFF"/>
        </w:rPr>
        <w:t xml:space="preserve"> quality </w:t>
      </w:r>
      <w:r>
        <w:rPr>
          <w:rFonts w:ascii="Times New Roman" w:eastAsia="Segoe UI" w:hAnsi="Times New Roman"/>
          <w:sz w:val="24"/>
          <w:shd w:val="clear" w:color="auto" w:fill="FFFFFF"/>
        </w:rPr>
        <w:t>metrics</w:t>
      </w:r>
      <w:r>
        <w:rPr>
          <w:rFonts w:ascii="Times New Roman" w:hAnsi="Times New Roman"/>
          <w:sz w:val="24"/>
          <w:shd w:val="clear" w:color="auto" w:fill="FFFFFF"/>
        </w:rPr>
        <w:t xml:space="preserve"> used to </w:t>
      </w:r>
      <w:r>
        <w:rPr>
          <w:rFonts w:ascii="Times New Roman" w:eastAsia="Segoe UI" w:hAnsi="Times New Roman"/>
          <w:sz w:val="24"/>
          <w:shd w:val="clear" w:color="auto" w:fill="FFFFFF"/>
        </w:rPr>
        <w:t>assess</w:t>
      </w:r>
      <w:r>
        <w:rPr>
          <w:rFonts w:ascii="Times New Roman" w:hAnsi="Times New Roman"/>
          <w:sz w:val="24"/>
          <w:shd w:val="clear" w:color="auto" w:fill="FFFFFF"/>
        </w:rPr>
        <w:t xml:space="preserve"> sequencing accuracy</w:t>
      </w:r>
      <w:r>
        <w:rPr>
          <w:rFonts w:ascii="Times New Roman" w:eastAsia="Segoe UI" w:hAnsi="Times New Roman"/>
          <w:sz w:val="24"/>
          <w:shd w:val="clear" w:color="auto" w:fill="FFFFFF"/>
        </w:rPr>
        <w:t>.</w:t>
      </w:r>
    </w:p>
    <w:p w14:paraId="66FF977F" w14:textId="77777777" w:rsidR="000D1F13" w:rsidRDefault="00000000">
      <w:pPr>
        <w:spacing w:line="360" w:lineRule="auto"/>
        <w:rPr>
          <w:rFonts w:ascii="Times New Roman" w:eastAsia="Segoe UI" w:hAnsi="Times New Roman"/>
          <w:b/>
          <w:bCs/>
          <w:sz w:val="24"/>
          <w:shd w:val="clear" w:color="auto" w:fill="FFFFFF"/>
        </w:rPr>
      </w:pPr>
      <w:r>
        <w:rPr>
          <w:rFonts w:ascii="Times New Roman" w:eastAsia="Segoe UI" w:hAnsi="Times New Roman"/>
          <w:b/>
          <w:bCs/>
          <w:sz w:val="24"/>
          <w:shd w:val="clear" w:color="auto" w:fill="FFFFFF"/>
        </w:rPr>
        <w:br w:type="page"/>
      </w:r>
    </w:p>
    <w:p w14:paraId="7663E06A" w14:textId="77777777" w:rsidR="000D1F13" w:rsidRDefault="00000000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Table </w:t>
      </w:r>
      <w:r>
        <w:rPr>
          <w:rFonts w:ascii="Times New Roman" w:hAnsi="Times New Roman" w:hint="eastAsia"/>
          <w:b/>
          <w:sz w:val="24"/>
          <w:shd w:val="clear" w:color="auto" w:fill="FFFFFF"/>
        </w:rPr>
        <w:t>4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Statistical analysis of cell Ranger sequence</w:t>
      </w:r>
    </w:p>
    <w:tbl>
      <w:tblPr>
        <w:tblW w:w="7933" w:type="dxa"/>
        <w:tblInd w:w="98" w:type="dxa"/>
        <w:tblLook w:val="04A0" w:firstRow="1" w:lastRow="0" w:firstColumn="1" w:lastColumn="0" w:noHBand="0" w:noVBand="1"/>
      </w:tblPr>
      <w:tblGrid>
        <w:gridCol w:w="881"/>
        <w:gridCol w:w="1266"/>
        <w:gridCol w:w="998"/>
        <w:gridCol w:w="1196"/>
        <w:gridCol w:w="928"/>
        <w:gridCol w:w="888"/>
        <w:gridCol w:w="888"/>
        <w:gridCol w:w="888"/>
      </w:tblGrid>
      <w:tr w:rsidR="000D1F13" w14:paraId="408544B1" w14:textId="77777777">
        <w:trPr>
          <w:trHeight w:val="1410"/>
        </w:trPr>
        <w:tc>
          <w:tcPr>
            <w:tcW w:w="9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0A53752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Sample</w:t>
            </w: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ID</w:t>
            </w:r>
          </w:p>
        </w:tc>
        <w:tc>
          <w:tcPr>
            <w:tcW w:w="111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D48258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Number of Reads</w:t>
            </w:r>
          </w:p>
        </w:tc>
        <w:tc>
          <w:tcPr>
            <w:tcW w:w="97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3D44C57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Valid Barcodes</w:t>
            </w:r>
          </w:p>
        </w:tc>
        <w:tc>
          <w:tcPr>
            <w:tcW w:w="105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281641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Sequencing Saturation</w:t>
            </w:r>
          </w:p>
        </w:tc>
        <w:tc>
          <w:tcPr>
            <w:tcW w:w="95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8E9D94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Q30 Bases in Barcode</w:t>
            </w:r>
          </w:p>
        </w:tc>
        <w:tc>
          <w:tcPr>
            <w:tcW w:w="95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E41CD4B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Q30 Bases in RNA Read</w:t>
            </w:r>
          </w:p>
        </w:tc>
        <w:tc>
          <w:tcPr>
            <w:tcW w:w="95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D6D6ED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Q30 Bases in Sample Index</w:t>
            </w:r>
          </w:p>
        </w:tc>
        <w:tc>
          <w:tcPr>
            <w:tcW w:w="95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A41271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Q30 Bases in UMI</w:t>
            </w:r>
          </w:p>
        </w:tc>
      </w:tr>
      <w:tr w:rsidR="000D1F13" w14:paraId="2C04DFAA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92200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CM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A42D4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327,505,686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276E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98.40%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8B5D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86.50%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33DF5B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96.70%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C6407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95.10%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61C5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96.50%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9E72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94.30%</w:t>
            </w:r>
          </w:p>
        </w:tc>
      </w:tr>
      <w:tr w:rsidR="000D1F13" w14:paraId="7E03C949" w14:textId="77777777">
        <w:trPr>
          <w:trHeight w:val="295"/>
        </w:trPr>
        <w:tc>
          <w:tcPr>
            <w:tcW w:w="977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2054E34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CYQ</w:t>
            </w:r>
          </w:p>
        </w:tc>
        <w:tc>
          <w:tcPr>
            <w:tcW w:w="1116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30960BB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308,027,053</w:t>
            </w:r>
          </w:p>
        </w:tc>
        <w:tc>
          <w:tcPr>
            <w:tcW w:w="972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74D2C4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98.30%</w:t>
            </w:r>
          </w:p>
        </w:tc>
        <w:tc>
          <w:tcPr>
            <w:tcW w:w="1056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36A75DE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82.90%</w:t>
            </w:r>
          </w:p>
        </w:tc>
        <w:tc>
          <w:tcPr>
            <w:tcW w:w="959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DC95748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96.30%</w:t>
            </w:r>
          </w:p>
        </w:tc>
        <w:tc>
          <w:tcPr>
            <w:tcW w:w="951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026372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94.00%</w:t>
            </w:r>
          </w:p>
        </w:tc>
        <w:tc>
          <w:tcPr>
            <w:tcW w:w="951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151DBBE4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95.80%</w:t>
            </w:r>
          </w:p>
        </w:tc>
        <w:tc>
          <w:tcPr>
            <w:tcW w:w="951" w:type="dxa"/>
            <w:tcBorders>
              <w:top w:val="single" w:sz="8" w:space="0" w:color="DDDDDD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30BDD792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93.90%</w:t>
            </w:r>
          </w:p>
        </w:tc>
      </w:tr>
      <w:tr w:rsidR="000D1F13" w14:paraId="459DF469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724E0022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HDM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35681A0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336,702,161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75BC4EB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98.40%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425D00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87.30%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9AB5478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96.40%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CD45FF3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94.20%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A71DDC0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94.80%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D54B483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93.90%</w:t>
            </w:r>
          </w:p>
        </w:tc>
      </w:tr>
      <w:tr w:rsidR="000D1F13" w14:paraId="3E61A8EF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7B62C6C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LL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2D301A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342,927,235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73F24185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96.40%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FC888D3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90.70%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3B35DAA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96.20%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1C11DD8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93.80%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746C9254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96.60%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4369E40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93.30%</w:t>
            </w:r>
          </w:p>
        </w:tc>
      </w:tr>
      <w:tr w:rsidR="000D1F13" w14:paraId="20F2FE0E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39AAEB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LWL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02C9C4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327,999,453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A746A25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98.50%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F18EE2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82.50%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A75FAE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96.40%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B285A5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94.50%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61ED2A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95.70%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7847E6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93.30%</w:t>
            </w:r>
          </w:p>
        </w:tc>
      </w:tr>
      <w:tr w:rsidR="000D1F13" w14:paraId="7A6DCA03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5092C7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WYA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BFC833C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308,782,134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1438E1B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98.60%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7AF7EA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85.70%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129A5BC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96.80%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6C0BBD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94.20%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AF2DDF3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95.80%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239B1FC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93.80%</w:t>
            </w:r>
          </w:p>
        </w:tc>
      </w:tr>
      <w:tr w:rsidR="000D1F13" w14:paraId="6C688DF4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0EBE182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YWH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43711E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348,124,333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FB7281B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98.60%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108A7572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86.20%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AC83D87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96.70%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EED36D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94.20%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D5DA4EE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95.60%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1C8D1B9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93.50%</w:t>
            </w:r>
          </w:p>
        </w:tc>
      </w:tr>
      <w:tr w:rsidR="000D1F13" w14:paraId="53D08EE3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021AAD86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YYF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47FA61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335,677,648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01404AC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98.70%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5B04011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81.80%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43A9C710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96.30%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3467B24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93.90%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21EEF51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96.40%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vAlign w:val="center"/>
          </w:tcPr>
          <w:p w14:paraId="673E15A0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93.40%</w:t>
            </w:r>
          </w:p>
        </w:tc>
      </w:tr>
      <w:tr w:rsidR="000D1F13" w14:paraId="68EE91EC" w14:textId="77777777">
        <w:trPr>
          <w:trHeight w:val="295"/>
        </w:trPr>
        <w:tc>
          <w:tcPr>
            <w:tcW w:w="9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3068CA9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ZY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D4EDBF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322,317,688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559E295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98.40%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4565A07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89.10%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FC8879A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96.50%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B06D63D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94.90%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055E451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97.10%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A24982B" w14:textId="77777777" w:rsidR="000D1F13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94.10%</w:t>
            </w:r>
          </w:p>
        </w:tc>
      </w:tr>
    </w:tbl>
    <w:p w14:paraId="2360ECF8" w14:textId="77777777" w:rsidR="000D1F13" w:rsidRDefault="00000000">
      <w:pPr>
        <w:spacing w:line="360" w:lineRule="auto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Number of Reads: total number of sequences; Valid Barcodes: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the ratio of </w:t>
      </w:r>
      <w:r>
        <w:rPr>
          <w:rFonts w:ascii="Times New Roman" w:hAnsi="Times New Roman"/>
          <w:sz w:val="24"/>
          <w:shd w:val="clear" w:color="auto" w:fill="FFFFFF"/>
        </w:rPr>
        <w:t xml:space="preserve">valid 10X </w:t>
      </w:r>
      <w:r>
        <w:rPr>
          <w:rFonts w:ascii="Times New Roman" w:eastAsia="Segoe UI" w:hAnsi="Times New Roman"/>
          <w:sz w:val="24"/>
          <w:shd w:val="clear" w:color="auto" w:fill="FFFFFF"/>
        </w:rPr>
        <w:t>Barcodes</w:t>
      </w:r>
      <w:r>
        <w:rPr>
          <w:rFonts w:ascii="Times New Roman" w:hAnsi="Times New Roman"/>
          <w:sz w:val="24"/>
          <w:shd w:val="clear" w:color="auto" w:fill="FFFFFF"/>
        </w:rPr>
        <w:t xml:space="preserve">; Sequencing Saturation: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level of </w:t>
      </w:r>
      <w:r>
        <w:rPr>
          <w:rFonts w:ascii="Times New Roman" w:hAnsi="Times New Roman"/>
          <w:sz w:val="24"/>
          <w:shd w:val="clear" w:color="auto" w:fill="FFFFFF"/>
        </w:rPr>
        <w:t xml:space="preserve">sequencing saturation; Q30 Bases in Barcode: </w:t>
      </w:r>
      <w:r>
        <w:rPr>
          <w:rFonts w:ascii="Times New Roman" w:eastAsia="Segoe UI" w:hAnsi="Times New Roman"/>
          <w:sz w:val="24"/>
          <w:shd w:val="clear" w:color="auto" w:fill="FFFFFF"/>
        </w:rPr>
        <w:t>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with mass values greater than or equal to 30 in the Barcode sequence; Q30 Bases in RNA Read: </w:t>
      </w:r>
      <w:r>
        <w:rPr>
          <w:rFonts w:ascii="Times New Roman" w:eastAsia="Segoe UI" w:hAnsi="Times New Roman"/>
          <w:sz w:val="24"/>
          <w:shd w:val="clear" w:color="auto" w:fill="FFFFFF"/>
        </w:rPr>
        <w:t>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in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RNA </w:t>
      </w:r>
      <w:r>
        <w:rPr>
          <w:rFonts w:ascii="Times New Roman" w:hAnsi="Times New Roman"/>
          <w:sz w:val="24"/>
          <w:shd w:val="clear" w:color="auto" w:fill="FFFFFF"/>
        </w:rPr>
        <w:t xml:space="preserve">reads with mass values greater than or equal to 30; Q30 Bases in </w:t>
      </w:r>
      <w:r>
        <w:rPr>
          <w:rFonts w:ascii="Times New Roman" w:eastAsia="Segoe UI" w:hAnsi="Times New Roman"/>
          <w:sz w:val="24"/>
          <w:shd w:val="clear" w:color="auto" w:fill="FFFFFF"/>
        </w:rPr>
        <w:t>Sample Index: 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with mass values greater than or equal to 30 in the sample index; Q30 Bases in UMI: </w:t>
      </w:r>
      <w:r>
        <w:rPr>
          <w:rFonts w:ascii="Times New Roman" w:eastAsia="Segoe UI" w:hAnsi="Times New Roman"/>
          <w:sz w:val="24"/>
          <w:shd w:val="clear" w:color="auto" w:fill="FFFFFF"/>
        </w:rPr>
        <w:t>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bases in the UMI sequence with mass values greater than or equal to 30.</w:t>
      </w:r>
    </w:p>
    <w:p w14:paraId="586F9E97" w14:textId="77777777" w:rsidR="000D1F13" w:rsidRDefault="00000000">
      <w:pPr>
        <w:rPr>
          <w:rFonts w:ascii="Times New Roman" w:eastAsia="Segoe UI" w:hAnsi="Times New Roman"/>
          <w:b/>
          <w:bCs/>
          <w:sz w:val="24"/>
          <w:shd w:val="clear" w:color="auto" w:fill="FFFFFF"/>
        </w:rPr>
      </w:pPr>
      <w:r>
        <w:rPr>
          <w:rFonts w:ascii="Times New Roman" w:eastAsia="Segoe UI" w:hAnsi="Times New Roman"/>
          <w:b/>
          <w:bCs/>
          <w:sz w:val="24"/>
          <w:shd w:val="clear" w:color="auto" w:fill="FFFFFF"/>
        </w:rPr>
        <w:br w:type="page"/>
      </w:r>
    </w:p>
    <w:p w14:paraId="4D23DF0C" w14:textId="77777777" w:rsidR="000D1F13" w:rsidRDefault="00000000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Table </w:t>
      </w:r>
      <w:r>
        <w:rPr>
          <w:rFonts w:ascii="Times New Roman" w:hAnsi="Times New Roman" w:hint="eastAsia"/>
          <w:b/>
          <w:sz w:val="24"/>
          <w:shd w:val="clear" w:color="auto" w:fill="FFFFFF"/>
        </w:rPr>
        <w:t>5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Cell Ranger Analysis and comparison result statistics</w:t>
      </w:r>
    </w:p>
    <w:tbl>
      <w:tblPr>
        <w:tblW w:w="4671" w:type="pct"/>
        <w:tblLook w:val="04A0" w:firstRow="1" w:lastRow="0" w:firstColumn="1" w:lastColumn="0" w:noHBand="0" w:noVBand="1"/>
      </w:tblPr>
      <w:tblGrid>
        <w:gridCol w:w="726"/>
        <w:gridCol w:w="794"/>
        <w:gridCol w:w="1031"/>
        <w:gridCol w:w="1031"/>
        <w:gridCol w:w="1031"/>
        <w:gridCol w:w="1031"/>
        <w:gridCol w:w="889"/>
        <w:gridCol w:w="1205"/>
        <w:gridCol w:w="784"/>
      </w:tblGrid>
      <w:tr w:rsidR="000D1F13" w14:paraId="5662CBE5" w14:textId="77777777">
        <w:trPr>
          <w:trHeight w:val="995"/>
        </w:trPr>
        <w:tc>
          <w:tcPr>
            <w:tcW w:w="218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7430A12E" w14:textId="77777777" w:rsidR="000D1F13" w:rsidRDefault="00000000">
            <w:pPr>
              <w:ind w:left="210" w:hangingChars="100" w:hanging="210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</w:t>
            </w:r>
            <w:r>
              <w:rPr>
                <w:rFonts w:ascii="Times New Roman" w:eastAsia="Times New Roman" w:hAnsi="Times New Roman"/>
                <w:szCs w:val="21"/>
              </w:rPr>
              <w:t>ample</w:t>
            </w:r>
          </w:p>
          <w:p w14:paraId="08A4490A" w14:textId="77777777" w:rsidR="000D1F13" w:rsidRDefault="00000000">
            <w:pPr>
              <w:ind w:left="210" w:hangingChars="100" w:hanging="210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ID</w:t>
            </w:r>
          </w:p>
        </w:tc>
        <w:tc>
          <w:tcPr>
            <w:tcW w:w="429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2192CAB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to Genome</w:t>
            </w:r>
          </w:p>
        </w:tc>
        <w:tc>
          <w:tcPr>
            <w:tcW w:w="607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1776BBC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Confidently to Genome</w:t>
            </w:r>
          </w:p>
        </w:tc>
        <w:tc>
          <w:tcPr>
            <w:tcW w:w="729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410E5BB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Confidently to Intergenic Regions</w:t>
            </w:r>
          </w:p>
        </w:tc>
        <w:tc>
          <w:tcPr>
            <w:tcW w:w="703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5EE2666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Confidently to Intronic Regions</w:t>
            </w:r>
          </w:p>
        </w:tc>
        <w:tc>
          <w:tcPr>
            <w:tcW w:w="692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2E80851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 xml:space="preserve">Reads Mapped Confidently to </w:t>
            </w:r>
            <w:proofErr w:type="spellStart"/>
            <w:r>
              <w:rPr>
                <w:rFonts w:ascii="Times New Roman" w:eastAsia="Times New Roman" w:hAnsi="Times New Roman"/>
                <w:szCs w:val="21"/>
              </w:rPr>
              <w:t>Exonic</w:t>
            </w:r>
            <w:proofErr w:type="spellEnd"/>
            <w:r>
              <w:rPr>
                <w:rFonts w:ascii="Times New Roman" w:eastAsia="Times New Roman" w:hAnsi="Times New Roman"/>
                <w:szCs w:val="21"/>
              </w:rPr>
              <w:t xml:space="preserve"> Regions</w:t>
            </w:r>
          </w:p>
        </w:tc>
        <w:tc>
          <w:tcPr>
            <w:tcW w:w="526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137DC7B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Antisense to Gene</w:t>
            </w:r>
          </w:p>
        </w:tc>
        <w:tc>
          <w:tcPr>
            <w:tcW w:w="698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5B63E949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Reads Mapped Confidently to Transcriptome</w:t>
            </w:r>
          </w:p>
        </w:tc>
        <w:tc>
          <w:tcPr>
            <w:tcW w:w="393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22F970A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Fraction Reads in Cells</w:t>
            </w:r>
          </w:p>
        </w:tc>
      </w:tr>
      <w:tr w:rsidR="000D1F13" w14:paraId="3A84A60B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2734F04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CM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34F19BD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96.40%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33F48A1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86.10%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47620E9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2.90%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17D66AD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29.10%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17CE2FA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54.10%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5C06AFD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1.00%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0794E8AF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49.80%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FFFFFF" w:fill="auto"/>
          </w:tcPr>
          <w:p w14:paraId="76AF34A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86.10%</w:t>
            </w:r>
          </w:p>
        </w:tc>
      </w:tr>
      <w:tr w:rsidR="000D1F13" w14:paraId="19045ADD" w14:textId="77777777">
        <w:trPr>
          <w:trHeight w:val="451"/>
        </w:trPr>
        <w:tc>
          <w:tcPr>
            <w:tcW w:w="218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DE2BBB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CYQ</w:t>
            </w:r>
          </w:p>
        </w:tc>
        <w:tc>
          <w:tcPr>
            <w:tcW w:w="429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E47BBB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97.20%</w:t>
            </w:r>
          </w:p>
        </w:tc>
        <w:tc>
          <w:tcPr>
            <w:tcW w:w="607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0F90E5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89.50%</w:t>
            </w:r>
          </w:p>
        </w:tc>
        <w:tc>
          <w:tcPr>
            <w:tcW w:w="729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DA89FB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2.20%</w:t>
            </w:r>
          </w:p>
        </w:tc>
        <w:tc>
          <w:tcPr>
            <w:tcW w:w="703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903DD1D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23.60%</w:t>
            </w:r>
          </w:p>
        </w:tc>
        <w:tc>
          <w:tcPr>
            <w:tcW w:w="692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4466CC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63.70%</w:t>
            </w:r>
          </w:p>
        </w:tc>
        <w:tc>
          <w:tcPr>
            <w:tcW w:w="526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6CC75CC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1.10%</w:t>
            </w:r>
          </w:p>
        </w:tc>
        <w:tc>
          <w:tcPr>
            <w:tcW w:w="698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73EA29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59.20%</w:t>
            </w:r>
          </w:p>
        </w:tc>
        <w:tc>
          <w:tcPr>
            <w:tcW w:w="393" w:type="pct"/>
            <w:tcBorders>
              <w:top w:val="single" w:sz="12" w:space="0" w:color="C0C0C0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8EF8D1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87.60%</w:t>
            </w:r>
          </w:p>
        </w:tc>
      </w:tr>
      <w:tr w:rsidR="000D1F13" w14:paraId="01008AD4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71E8A0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HDM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9A316A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97.10%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0A8B6C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92.70%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379777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2.30%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5E800E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23.90%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07718A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66.50%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3FA634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1.20%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7BEE6F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61.60%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61AE911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72.50%</w:t>
            </w:r>
          </w:p>
        </w:tc>
      </w:tr>
      <w:tr w:rsidR="000D1F13" w14:paraId="57416412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CDAA35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LL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AB8D63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94.40%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FFDBA6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85.00%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3E4E42D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3.10%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F12554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29.70%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D5DA6AF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52.10%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CD05C0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1.30%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066FA7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47.70%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9A482F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81.20%</w:t>
            </w:r>
          </w:p>
        </w:tc>
      </w:tr>
      <w:tr w:rsidR="000D1F13" w14:paraId="3E11F669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2A8E9A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LWL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5192AE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96.80%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18EA07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92.00%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67AF55A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2.50%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C754EF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25.00%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B624FA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64.50%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5960320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1.20%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7028D1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59.60%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7EC44A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89.00%</w:t>
            </w:r>
          </w:p>
        </w:tc>
      </w:tr>
      <w:tr w:rsidR="000D1F13" w14:paraId="1B0DCBAD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226E1D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WYA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8B33B8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97.00%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EFF103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89.80%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A1D0E7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1.80%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7C04C2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17.50%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6735A5F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70.60%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02BF67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0.80%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19B7DB1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66.10%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5319AD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85.80%</w:t>
            </w:r>
          </w:p>
        </w:tc>
      </w:tr>
      <w:tr w:rsidR="000D1F13" w14:paraId="529C6524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B4B792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YWH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974783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97.00%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2434606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92.60%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862E60D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2.20%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5202EA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21.40%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4EAAA3C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68.90%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359940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1.00%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E8FE99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64.00%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2013008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89.40%</w:t>
            </w:r>
          </w:p>
        </w:tc>
      </w:tr>
      <w:tr w:rsidR="000D1F13" w14:paraId="1C5447B1" w14:textId="77777777">
        <w:trPr>
          <w:trHeight w:val="451"/>
        </w:trPr>
        <w:tc>
          <w:tcPr>
            <w:tcW w:w="21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4E105C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YYF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57A83647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97.20%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6B37337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93.30%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3FBDFE6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2.20%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6D5624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20.80%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328F63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70.40%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057B9373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1.00%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70D45E0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65.60%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2" w:space="0" w:color="C0C0C0"/>
              <w:right w:val="nil"/>
              <w:tl2br w:val="nil"/>
              <w:tr2bl w:val="nil"/>
            </w:tcBorders>
            <w:shd w:val="solid" w:color="FFFFFF" w:fill="auto"/>
          </w:tcPr>
          <w:p w14:paraId="1E28BFD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88.90%</w:t>
            </w:r>
          </w:p>
        </w:tc>
      </w:tr>
      <w:tr w:rsidR="000D1F13" w14:paraId="16D2F88A" w14:textId="77777777">
        <w:trPr>
          <w:trHeight w:val="548"/>
        </w:trPr>
        <w:tc>
          <w:tcPr>
            <w:tcW w:w="218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684F07B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ZY</w:t>
            </w:r>
          </w:p>
        </w:tc>
        <w:tc>
          <w:tcPr>
            <w:tcW w:w="429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3AE732EC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96.70%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529959DB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85.70%</w:t>
            </w:r>
          </w:p>
        </w:tc>
        <w:tc>
          <w:tcPr>
            <w:tcW w:w="729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60190365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2.70%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3AA4158E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23.80%</w:t>
            </w:r>
          </w:p>
        </w:tc>
        <w:tc>
          <w:tcPr>
            <w:tcW w:w="692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43DBB696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59.30%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5EF875B4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1.10%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7CC852BA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54.70%</w:t>
            </w:r>
          </w:p>
        </w:tc>
        <w:tc>
          <w:tcPr>
            <w:tcW w:w="393" w:type="pct"/>
            <w:tcBorders>
              <w:top w:val="nil"/>
              <w:left w:val="nil"/>
              <w:bottom w:val="single" w:sz="18" w:space="0" w:color="auto"/>
              <w:right w:val="nil"/>
              <w:tl2br w:val="nil"/>
              <w:tr2bl w:val="nil"/>
            </w:tcBorders>
            <w:shd w:val="solid" w:color="FFFFFF" w:fill="auto"/>
          </w:tcPr>
          <w:p w14:paraId="2C1AAFB2" w14:textId="77777777" w:rsidR="000D1F13" w:rsidRDefault="00000000">
            <w:pPr>
              <w:jc w:val="center"/>
              <w:rPr>
                <w:rFonts w:ascii="Times New Roman" w:eastAsia="Times New Roman" w:hAnsi="Times New Roman"/>
                <w:szCs w:val="21"/>
              </w:rPr>
            </w:pPr>
            <w:r>
              <w:rPr>
                <w:rFonts w:ascii="Times New Roman" w:eastAsia="Times New Roman" w:hAnsi="Times New Roman"/>
                <w:szCs w:val="21"/>
              </w:rPr>
              <w:t>81.60%</w:t>
            </w:r>
          </w:p>
        </w:tc>
      </w:tr>
    </w:tbl>
    <w:p w14:paraId="36957470" w14:textId="77777777" w:rsidR="000D1F13" w:rsidRDefault="00000000">
      <w:pPr>
        <w:spacing w:line="36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Reads Mapped to Genomes: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the </w:t>
      </w:r>
      <w:r>
        <w:rPr>
          <w:rFonts w:ascii="Times New Roman" w:hAnsi="Times New Roman"/>
          <w:sz w:val="24"/>
          <w:shd w:val="clear" w:color="auto" w:fill="FFFFFF"/>
        </w:rPr>
        <w:t xml:space="preserve">percentage of total Reads aligned to the reference genome; Reads Mapped Confidently to Genome: </w:t>
      </w:r>
      <w:r>
        <w:rPr>
          <w:rFonts w:ascii="Times New Roman" w:eastAsia="Segoe UI" w:hAnsi="Times New Roman"/>
          <w:sz w:val="24"/>
          <w:shd w:val="clear" w:color="auto" w:fill="FFFFFF"/>
        </w:rPr>
        <w:t xml:space="preserve">the percentage of Reads confidently mapped to the genome; </w:t>
      </w:r>
      <w:r>
        <w:rPr>
          <w:rFonts w:ascii="Times New Roman" w:hAnsi="Times New Roman"/>
          <w:sz w:val="24"/>
          <w:shd w:val="clear" w:color="auto" w:fill="FFFFFF"/>
        </w:rPr>
        <w:t xml:space="preserve">Reads Mapped Confidently to Intergenic Regions: </w:t>
      </w:r>
      <w:r>
        <w:rPr>
          <w:rFonts w:ascii="Times New Roman" w:eastAsia="Segoe UI" w:hAnsi="Times New Roman"/>
          <w:sz w:val="24"/>
          <w:shd w:val="clear" w:color="auto" w:fill="FFFFFF"/>
        </w:rPr>
        <w:t>the</w:t>
      </w:r>
      <w:r>
        <w:rPr>
          <w:rFonts w:ascii="Times New Roman" w:hAnsi="Times New Roman"/>
          <w:sz w:val="24"/>
          <w:shd w:val="clear" w:color="auto" w:fill="FFFFFF"/>
        </w:rPr>
        <w:t xml:space="preserve"> number of sequences aligned to intergenic regions as a percentage of the total number of sequences; Reads Mapped Confidently to Intronic Regions: the </w:t>
      </w:r>
      <w:r>
        <w:rPr>
          <w:rFonts w:ascii="Times New Roman" w:eastAsia="Segoe UI" w:hAnsi="Times New Roman"/>
          <w:sz w:val="24"/>
          <w:shd w:val="clear" w:color="auto" w:fill="FFFFFF"/>
        </w:rPr>
        <w:t>number of sequences aligned to intronic regions</w:t>
      </w:r>
      <w:r>
        <w:rPr>
          <w:rFonts w:ascii="Times New Roman" w:hAnsi="Times New Roman"/>
          <w:sz w:val="24"/>
          <w:shd w:val="clear" w:color="auto" w:fill="FFFFFF"/>
        </w:rPr>
        <w:t xml:space="preserve"> as a percentage of the total number of sequences</w:t>
      </w:r>
      <w:r>
        <w:rPr>
          <w:rFonts w:ascii="Times New Roman" w:eastAsia="Segoe UI" w:hAnsi="Times New Roman"/>
          <w:sz w:val="24"/>
          <w:shd w:val="clear" w:color="auto" w:fill="FFFFFF"/>
        </w:rPr>
        <w:t>;</w:t>
      </w:r>
      <w:r>
        <w:rPr>
          <w:rFonts w:ascii="Times New Roman" w:hAnsi="Times New Roman"/>
          <w:sz w:val="24"/>
          <w:shd w:val="clear" w:color="auto" w:fill="FFFFFF"/>
        </w:rPr>
        <w:t xml:space="preserve"> Reads Mapped Confidently to </w:t>
      </w:r>
      <w:proofErr w:type="spellStart"/>
      <w:r>
        <w:rPr>
          <w:rFonts w:ascii="Times New Roman" w:eastAsia="Segoe UI" w:hAnsi="Times New Roman"/>
          <w:sz w:val="24"/>
          <w:shd w:val="clear" w:color="auto" w:fill="FFFFFF"/>
        </w:rPr>
        <w:t>Exonic</w:t>
      </w:r>
      <w:proofErr w:type="spellEnd"/>
      <w:r>
        <w:rPr>
          <w:rFonts w:ascii="Times New Roman" w:eastAsia="Segoe UI" w:hAnsi="Times New Roman"/>
          <w:sz w:val="24"/>
          <w:shd w:val="clear" w:color="auto" w:fill="FFFFFF"/>
        </w:rPr>
        <w:t xml:space="preserve"> Regions: the number of sequences aligned to </w:t>
      </w:r>
      <w:proofErr w:type="spellStart"/>
      <w:r>
        <w:rPr>
          <w:rFonts w:ascii="Times New Roman" w:eastAsia="Segoe UI" w:hAnsi="Times New Roman"/>
          <w:sz w:val="24"/>
          <w:shd w:val="clear" w:color="auto" w:fill="FFFFFF"/>
        </w:rPr>
        <w:t>exonic</w:t>
      </w:r>
      <w:proofErr w:type="spellEnd"/>
      <w:r>
        <w:rPr>
          <w:rFonts w:ascii="Times New Roman" w:eastAsia="Segoe UI" w:hAnsi="Times New Roman"/>
          <w:sz w:val="24"/>
          <w:shd w:val="clear" w:color="auto" w:fill="FFFFFF"/>
        </w:rPr>
        <w:t xml:space="preserve"> regions;</w:t>
      </w:r>
      <w:r>
        <w:rPr>
          <w:rFonts w:ascii="Times New Roman" w:hAnsi="Times New Roman"/>
          <w:sz w:val="24"/>
          <w:shd w:val="clear" w:color="auto" w:fill="FFFFFF"/>
        </w:rPr>
        <w:t xml:space="preserve"> Reads Mapped Antisense </w:t>
      </w:r>
      <w:r>
        <w:rPr>
          <w:rFonts w:ascii="Times New Roman" w:eastAsia="Segoe UI" w:hAnsi="Times New Roman"/>
          <w:sz w:val="24"/>
          <w:shd w:val="clear" w:color="auto" w:fill="FFFFFF"/>
        </w:rPr>
        <w:t>to Gene: the number of sequences aligned to the antisense strand of genes;</w:t>
      </w:r>
      <w:r>
        <w:rPr>
          <w:rFonts w:ascii="Times New Roman" w:hAnsi="Times New Roman"/>
          <w:sz w:val="24"/>
          <w:shd w:val="clear" w:color="auto" w:fill="FFFFFF"/>
        </w:rPr>
        <w:t xml:space="preserve"> Reads Mapped Confidently </w:t>
      </w:r>
      <w:r>
        <w:rPr>
          <w:rFonts w:ascii="Times New Roman" w:eastAsia="Segoe UI" w:hAnsi="Times New Roman"/>
          <w:sz w:val="24"/>
          <w:shd w:val="clear" w:color="auto" w:fill="FFFFFF"/>
        </w:rPr>
        <w:t>to Transcriptome: 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sequences aligned to known reference transcripts; Fraction Reads in Cells: </w:t>
      </w:r>
      <w:r>
        <w:rPr>
          <w:rFonts w:ascii="Times New Roman" w:eastAsia="Segoe UI" w:hAnsi="Times New Roman"/>
          <w:sz w:val="24"/>
          <w:shd w:val="clear" w:color="auto" w:fill="FFFFFF"/>
        </w:rPr>
        <w:t>the</w:t>
      </w:r>
      <w:r>
        <w:rPr>
          <w:rFonts w:ascii="Times New Roman" w:hAnsi="Times New Roman"/>
          <w:sz w:val="24"/>
          <w:shd w:val="clear" w:color="auto" w:fill="FFFFFF"/>
        </w:rPr>
        <w:t xml:space="preserve"> percentage of total sequences from high-quality cells compared to reference </w:t>
      </w:r>
      <w:r>
        <w:rPr>
          <w:rFonts w:ascii="Times New Roman" w:hAnsi="Times New Roman"/>
          <w:sz w:val="24"/>
          <w:shd w:val="clear" w:color="auto" w:fill="FFFFFF"/>
        </w:rPr>
        <w:lastRenderedPageBreak/>
        <w:t>genes.</w:t>
      </w:r>
    </w:p>
    <w:p w14:paraId="1EA0D045" w14:textId="77777777" w:rsidR="000D1F13" w:rsidRDefault="000D1F13">
      <w:pPr>
        <w:spacing w:line="360" w:lineRule="auto"/>
        <w:rPr>
          <w:rFonts w:ascii="Times New Roman" w:eastAsia="Segoe UI" w:hAnsi="Times New Roman"/>
          <w:sz w:val="24"/>
          <w:shd w:val="clear" w:color="auto" w:fill="FFFFFF"/>
        </w:rPr>
      </w:pPr>
    </w:p>
    <w:p w14:paraId="1A62A9E8" w14:textId="77777777" w:rsidR="000D1F13" w:rsidRDefault="00000000">
      <w:pPr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drawing>
          <wp:inline distT="0" distB="0" distL="114300" distR="114300">
            <wp:extent cx="5270500" cy="5321300"/>
            <wp:effectExtent l="0" t="0" r="6350" b="12700"/>
            <wp:docPr id="9" name="图片 67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7" descr="文字文稿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CDDA8" w14:textId="77777777" w:rsidR="000D1F13" w:rsidRDefault="00000000">
      <w:pPr>
        <w:spacing w:line="480" w:lineRule="auto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1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hd w:val="clear" w:color="auto" w:fill="FFFFFF"/>
        </w:rPr>
        <w:t>Quality control of library size and gene counts</w:t>
      </w:r>
    </w:p>
    <w:p w14:paraId="2C704E99" w14:textId="77777777" w:rsidR="000D1F13" w:rsidRDefault="000D1F13">
      <w:pPr>
        <w:spacing w:line="360" w:lineRule="auto"/>
        <w:outlineLvl w:val="1"/>
        <w:rPr>
          <w:rFonts w:ascii="Times New Roman" w:hAnsi="Times New Roman"/>
          <w:sz w:val="24"/>
          <w:shd w:val="clear" w:color="auto" w:fill="FFFFFF"/>
        </w:rPr>
      </w:pPr>
    </w:p>
    <w:p w14:paraId="6B8411E1" w14:textId="77777777" w:rsidR="000D1F13" w:rsidRDefault="00000000">
      <w:pPr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br w:type="page"/>
      </w:r>
    </w:p>
    <w:p w14:paraId="44AEDDD3" w14:textId="77777777" w:rsidR="000D1F13" w:rsidRDefault="000D1F13">
      <w:pPr>
        <w:spacing w:line="360" w:lineRule="auto"/>
        <w:outlineLvl w:val="1"/>
        <w:rPr>
          <w:rFonts w:ascii="Times New Roman" w:hAnsi="Times New Roman"/>
          <w:sz w:val="24"/>
          <w:shd w:val="clear" w:color="auto" w:fill="FFFFFF"/>
        </w:rPr>
      </w:pPr>
    </w:p>
    <w:p w14:paraId="0380AF83" w14:textId="77777777" w:rsidR="000D1F13" w:rsidRDefault="00000000">
      <w:pPr>
        <w:spacing w:line="360" w:lineRule="auto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drawing>
          <wp:inline distT="0" distB="0" distL="114300" distR="114300">
            <wp:extent cx="5268595" cy="2813050"/>
            <wp:effectExtent l="0" t="0" r="8255" b="6350"/>
            <wp:docPr id="10" name="图片 68" descr="Q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8" descr="Q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EF7B" w14:textId="77777777" w:rsidR="000D1F13" w:rsidRDefault="00000000">
      <w:pPr>
        <w:spacing w:line="360" w:lineRule="auto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2</w:t>
      </w:r>
      <w:r>
        <w:rPr>
          <w:rFonts w:ascii="Times New Roman" w:eastAsia="Segoe UI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sz w:val="24"/>
          <w:shd w:val="clear" w:color="auto" w:fill="FFFFFF"/>
        </w:rPr>
        <w:t xml:space="preserve"> Highly variable genes across all cell types</w:t>
      </w:r>
    </w:p>
    <w:p w14:paraId="15C5390C" w14:textId="77777777" w:rsidR="000D1F13" w:rsidRDefault="00000000">
      <w:pPr>
        <w:spacing w:line="360" w:lineRule="auto"/>
        <w:jc w:val="left"/>
        <w:outlineLvl w:val="1"/>
        <w:rPr>
          <w:rFonts w:ascii="Times New Roman" w:eastAsia="Segoe UI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Highly variable genes were selected for PCA, with blue dots representing significantly differentially expressed genes.</w:t>
      </w:r>
    </w:p>
    <w:p w14:paraId="4A2A4279" w14:textId="77777777" w:rsidR="000D1F13" w:rsidRDefault="000D1F13">
      <w:pPr>
        <w:spacing w:line="360" w:lineRule="auto"/>
        <w:jc w:val="left"/>
        <w:outlineLvl w:val="1"/>
        <w:rPr>
          <w:rFonts w:ascii="Times New Roman" w:eastAsia="Segoe UI" w:hAnsi="Times New Roman"/>
          <w:sz w:val="24"/>
          <w:shd w:val="clear" w:color="auto" w:fill="FFFFFF"/>
        </w:rPr>
      </w:pPr>
    </w:p>
    <w:p w14:paraId="5244EFE0" w14:textId="77777777" w:rsidR="000D1F13" w:rsidRDefault="00000000">
      <w:pPr>
        <w:rPr>
          <w:rFonts w:ascii="Times New Roman" w:eastAsia="Segoe UI" w:hAnsi="Times New Roman"/>
          <w:sz w:val="24"/>
          <w:shd w:val="clear" w:color="auto" w:fill="FFFFFF"/>
        </w:rPr>
      </w:pPr>
      <w:r>
        <w:rPr>
          <w:rFonts w:ascii="Times New Roman" w:eastAsia="Segoe UI" w:hAnsi="Times New Roman"/>
          <w:sz w:val="24"/>
          <w:shd w:val="clear" w:color="auto" w:fill="FFFFFF"/>
        </w:rPr>
        <w:br w:type="page"/>
      </w:r>
    </w:p>
    <w:p w14:paraId="39B34F00" w14:textId="77777777" w:rsidR="000D1F13" w:rsidRDefault="000D1F13">
      <w:pPr>
        <w:spacing w:line="360" w:lineRule="auto"/>
        <w:jc w:val="left"/>
        <w:outlineLvl w:val="1"/>
        <w:rPr>
          <w:rFonts w:ascii="Times New Roman" w:eastAsia="Segoe UI" w:hAnsi="Times New Roman"/>
          <w:sz w:val="24"/>
          <w:shd w:val="clear" w:color="auto" w:fill="FFFFFF"/>
        </w:rPr>
      </w:pPr>
    </w:p>
    <w:p w14:paraId="2EEA78AF" w14:textId="77777777" w:rsidR="000D1F13" w:rsidRDefault="00000000">
      <w:pPr>
        <w:spacing w:line="360" w:lineRule="auto"/>
        <w:jc w:val="left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drawing>
          <wp:inline distT="0" distB="0" distL="114300" distR="114300">
            <wp:extent cx="5274310" cy="1889125"/>
            <wp:effectExtent l="0" t="0" r="2540" b="15875"/>
            <wp:docPr id="11" name="图片 69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9" descr="文字文稿1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A890" w14:textId="77777777" w:rsidR="000D1F13" w:rsidRDefault="00000000">
      <w:pPr>
        <w:spacing w:line="36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3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sz w:val="24"/>
          <w:shd w:val="clear" w:color="auto" w:fill="FFFFFF"/>
        </w:rPr>
        <w:t xml:space="preserve"> Bubble map of each cell type </w:t>
      </w:r>
    </w:p>
    <w:p w14:paraId="3D639818" w14:textId="77777777" w:rsidR="000D1F13" w:rsidRDefault="00000000">
      <w:pPr>
        <w:spacing w:line="360" w:lineRule="auto"/>
        <w:rPr>
          <w:rFonts w:ascii="Times New Roman" w:eastAsia="Segoe UI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The ten cell types include NKT cells, T cells, NK cells, monocytes, B cells, macrophages, mast cells, dendritic cells, and plasma cells. Myeloid cells were directly divided into subtypes for heterogeneity analysis, resulting in refined cell types.</w:t>
      </w:r>
    </w:p>
    <w:p w14:paraId="30CEAD42" w14:textId="77777777" w:rsidR="000D1F13" w:rsidRDefault="00000000">
      <w:pPr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lastRenderedPageBreak/>
        <w:drawing>
          <wp:inline distT="0" distB="0" distL="114300" distR="114300">
            <wp:extent cx="5269230" cy="5846445"/>
            <wp:effectExtent l="0" t="0" r="7620" b="1905"/>
            <wp:docPr id="12" name="图片 70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0" descr="文字文稿1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7CF8" w14:textId="77777777" w:rsidR="000D1F13" w:rsidRDefault="00000000">
      <w:pPr>
        <w:pStyle w:val="CommentText"/>
        <w:spacing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4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</w:rPr>
        <w:t>Enriched pathways of nine cell types</w:t>
      </w:r>
    </w:p>
    <w:p w14:paraId="499BEE37" w14:textId="77777777" w:rsidR="000D1F13" w:rsidRDefault="000D1F13">
      <w:pPr>
        <w:pStyle w:val="CommentText"/>
        <w:spacing w:line="360" w:lineRule="auto"/>
        <w:rPr>
          <w:rFonts w:ascii="Times New Roman" w:hAnsi="Times New Roman"/>
          <w:sz w:val="24"/>
        </w:rPr>
      </w:pPr>
    </w:p>
    <w:p w14:paraId="7E0E8FB0" w14:textId="77777777" w:rsidR="000D1F13" w:rsidRDefault="00000000">
      <w:pPr>
        <w:tabs>
          <w:tab w:val="left" w:pos="2943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114300" distR="114300">
            <wp:extent cx="5267960" cy="3729355"/>
            <wp:effectExtent l="0" t="0" r="8890" b="4445"/>
            <wp:docPr id="13" name="图片 90" descr="文字文稿3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0" descr="文字文稿3_0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5FBB" w14:textId="77777777" w:rsidR="000D1F13" w:rsidRDefault="00000000">
      <w:pPr>
        <w:spacing w:line="360" w:lineRule="auto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5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sz w:val="24"/>
          <w:shd w:val="clear" w:color="auto" w:fill="FFFFFF"/>
        </w:rPr>
        <w:t xml:space="preserve"> GESA analysis. 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(</w:t>
      </w:r>
      <w:r>
        <w:rPr>
          <w:rFonts w:ascii="Times New Roman" w:hAnsi="Times New Roman"/>
          <w:b/>
          <w:sz w:val="24"/>
          <w:shd w:val="clear" w:color="auto" w:fill="FFFFFF"/>
        </w:rPr>
        <w:t>A-H)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hd w:val="clear" w:color="auto" w:fill="FFFFFF"/>
        </w:rPr>
        <w:t>GESA identified 10 enriched pathways for each of the biomarkers, MX1, STAT1, ISG15 and IRF7</w:t>
      </w:r>
    </w:p>
    <w:p w14:paraId="3C844819" w14:textId="77777777" w:rsidR="000D1F13" w:rsidRDefault="000D1F13">
      <w:pPr>
        <w:spacing w:line="360" w:lineRule="auto"/>
        <w:outlineLvl w:val="1"/>
        <w:rPr>
          <w:rFonts w:ascii="Times New Roman" w:eastAsia="Segoe UI" w:hAnsi="Times New Roman"/>
          <w:sz w:val="24"/>
          <w:shd w:val="clear" w:color="auto" w:fill="FFFFFF"/>
        </w:rPr>
      </w:pPr>
    </w:p>
    <w:p w14:paraId="39CEC5A4" w14:textId="77777777" w:rsidR="000D1F13" w:rsidRDefault="00000000">
      <w:pPr>
        <w:rPr>
          <w:rFonts w:ascii="Times New Roman" w:eastAsia="Segoe UI" w:hAnsi="Times New Roman"/>
          <w:sz w:val="24"/>
          <w:shd w:val="clear" w:color="auto" w:fill="FFFFFF"/>
        </w:rPr>
      </w:pPr>
      <w:r>
        <w:rPr>
          <w:rFonts w:ascii="Times New Roman" w:eastAsia="Segoe UI" w:hAnsi="Times New Roman"/>
          <w:sz w:val="24"/>
          <w:shd w:val="clear" w:color="auto" w:fill="FFFFFF"/>
        </w:rPr>
        <w:br w:type="page"/>
      </w:r>
    </w:p>
    <w:p w14:paraId="4C810742" w14:textId="77777777" w:rsidR="000D1F13" w:rsidRDefault="000D1F13">
      <w:pPr>
        <w:spacing w:line="360" w:lineRule="auto"/>
        <w:outlineLvl w:val="1"/>
        <w:rPr>
          <w:rFonts w:ascii="Times New Roman" w:eastAsia="Segoe UI" w:hAnsi="Times New Roman"/>
          <w:sz w:val="24"/>
          <w:shd w:val="clear" w:color="auto" w:fill="FFFFFF"/>
        </w:rPr>
      </w:pPr>
    </w:p>
    <w:p w14:paraId="0D005149" w14:textId="77777777" w:rsidR="000D1F13" w:rsidRDefault="00000000">
      <w:pPr>
        <w:spacing w:line="480" w:lineRule="auto"/>
        <w:outlineLvl w:val="1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drawing>
          <wp:inline distT="0" distB="0" distL="114300" distR="114300">
            <wp:extent cx="5266690" cy="3109595"/>
            <wp:effectExtent l="0" t="0" r="10160" b="14605"/>
            <wp:docPr id="14" name="图片 92" descr="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2" descr="7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1CFB" w14:textId="77777777" w:rsidR="000D1F13" w:rsidRDefault="00000000"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Supplementary</w:t>
      </w:r>
      <w:r>
        <w:rPr>
          <w:b/>
          <w:bCs/>
          <w:color w:val="000000"/>
        </w:rPr>
        <w:t xml:space="preserve"> </w:t>
      </w:r>
      <w:r>
        <w:rPr>
          <w:rFonts w:ascii="Times New Roman" w:hAnsi="Times New Roman"/>
          <w:b/>
          <w:sz w:val="24"/>
          <w:shd w:val="clear" w:color="auto" w:fill="FFFFFF"/>
        </w:rPr>
        <w:t>Figure 6</w:t>
      </w:r>
      <w:r>
        <w:rPr>
          <w:rFonts w:ascii="Times New Roman" w:hAnsi="Times New Roman"/>
          <w:b/>
          <w:bCs/>
          <w:sz w:val="24"/>
          <w:shd w:val="clear" w:color="auto" w:fill="FFFFFF"/>
        </w:rPr>
        <w:t>:</w:t>
      </w:r>
      <w:r>
        <w:rPr>
          <w:rFonts w:ascii="Times New Roman" w:hAnsi="Times New Roman"/>
          <w:sz w:val="24"/>
        </w:rPr>
        <w:t xml:space="preserve"> Biomarker-drug-disease network</w:t>
      </w:r>
    </w:p>
    <w:p w14:paraId="56D3C39E" w14:textId="77777777" w:rsidR="000D1F13" w:rsidRDefault="00000000">
      <w:pPr>
        <w:spacing w:line="360" w:lineRule="auto"/>
        <w:rPr>
          <w:rFonts w:ascii="Times New Roman" w:eastAsia="Segoe UI" w:hAnsi="Times New Roman"/>
          <w:b/>
          <w:bCs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 xml:space="preserve">Using </w:t>
      </w:r>
      <w:r>
        <w:rPr>
          <w:rFonts w:ascii="Times New Roman" w:hAnsi="Times New Roman"/>
          <w:bCs/>
          <w:sz w:val="24"/>
        </w:rPr>
        <w:t>identified</w:t>
      </w:r>
      <w:r>
        <w:rPr>
          <w:rFonts w:ascii="Times New Roman" w:hAnsi="Times New Roman"/>
          <w:sz w:val="24"/>
        </w:rPr>
        <w:t xml:space="preserve"> biomarkers and corresponding drugs, the CTD database </w:t>
      </w:r>
      <w:r>
        <w:rPr>
          <w:rFonts w:ascii="Times New Roman" w:hAnsi="Times New Roman"/>
          <w:bCs/>
          <w:sz w:val="24"/>
        </w:rPr>
        <w:t>(</w:t>
      </w:r>
      <w:hyperlink r:id="rId13" w:tgtFrame="_new" w:history="1">
        <w:r>
          <w:rPr>
            <w:rStyle w:val="Hyperlink"/>
            <w:rFonts w:ascii="Times New Roman" w:hAnsi="Times New Roman"/>
            <w:bCs/>
            <w:color w:val="auto"/>
            <w:sz w:val="24"/>
          </w:rPr>
          <w:t>http://ctdbase.org/</w:t>
        </w:r>
      </w:hyperlink>
      <w:r>
        <w:rPr>
          <w:rFonts w:ascii="Times New Roman" w:hAnsi="Times New Roman"/>
          <w:bCs/>
          <w:sz w:val="24"/>
        </w:rPr>
        <w:t>) was used to predict</w:t>
      </w:r>
      <w:r>
        <w:rPr>
          <w:rFonts w:ascii="Times New Roman" w:hAnsi="Times New Roman"/>
          <w:sz w:val="24"/>
        </w:rPr>
        <w:t xml:space="preserve"> diseases associated with these drugs</w:t>
      </w:r>
      <w:r>
        <w:rPr>
          <w:rFonts w:ascii="Times New Roman" w:hAnsi="Times New Roman"/>
          <w:bCs/>
          <w:sz w:val="24"/>
        </w:rPr>
        <w:t xml:space="preserve">. From the results, 10 </w:t>
      </w:r>
      <w:r>
        <w:rPr>
          <w:rFonts w:ascii="Times New Roman" w:hAnsi="Times New Roman"/>
          <w:sz w:val="24"/>
        </w:rPr>
        <w:t xml:space="preserve">diseases related to diabetes and </w:t>
      </w:r>
      <w:r>
        <w:rPr>
          <w:rFonts w:ascii="Times New Roman" w:hAnsi="Times New Roman"/>
          <w:bCs/>
          <w:sz w:val="24"/>
        </w:rPr>
        <w:t xml:space="preserve">its </w:t>
      </w:r>
      <w:r>
        <w:rPr>
          <w:rFonts w:ascii="Times New Roman" w:hAnsi="Times New Roman"/>
          <w:sz w:val="24"/>
        </w:rPr>
        <w:t xml:space="preserve">complications </w:t>
      </w:r>
      <w:r>
        <w:rPr>
          <w:rFonts w:ascii="Times New Roman" w:eastAsia="Segoe UI" w:hAnsi="Times New Roman"/>
          <w:sz w:val="24"/>
          <w:shd w:val="clear" w:color="auto" w:fill="FFFFFF"/>
        </w:rPr>
        <w:t>were selected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bCs/>
          <w:sz w:val="24"/>
        </w:rPr>
        <w:t>The</w:t>
      </w:r>
      <w:r>
        <w:rPr>
          <w:rFonts w:ascii="Times New Roman" w:hAnsi="Times New Roman"/>
          <w:sz w:val="24"/>
        </w:rPr>
        <w:t xml:space="preserve"> network visualization consists of165 nodes representing 4 genes (in red), 151 drugs (in blue), and 10 </w:t>
      </w:r>
      <w:proofErr w:type="gramStart"/>
      <w:r>
        <w:rPr>
          <w:rFonts w:ascii="Times New Roman" w:hAnsi="Times New Roman"/>
          <w:sz w:val="24"/>
        </w:rPr>
        <w:t>diseases(</w:t>
      </w:r>
      <w:proofErr w:type="gramEnd"/>
      <w:r>
        <w:rPr>
          <w:rFonts w:ascii="Times New Roman" w:hAnsi="Times New Roman"/>
          <w:sz w:val="24"/>
        </w:rPr>
        <w:t>in green), interconnected by 635 edges.</w:t>
      </w:r>
    </w:p>
    <w:p w14:paraId="15045699" w14:textId="77777777" w:rsidR="000D1F13" w:rsidRDefault="000D1F13">
      <w:pPr>
        <w:tabs>
          <w:tab w:val="left" w:pos="2943"/>
        </w:tabs>
        <w:spacing w:line="360" w:lineRule="auto"/>
        <w:jc w:val="left"/>
        <w:rPr>
          <w:rFonts w:ascii="Times New Roman" w:hAnsi="Times New Roman"/>
        </w:rPr>
      </w:pPr>
    </w:p>
    <w:p w14:paraId="627AE905" w14:textId="77777777" w:rsidR="000D1F13" w:rsidRDefault="000D1F13">
      <w:pPr>
        <w:spacing w:line="360" w:lineRule="auto"/>
        <w:rPr>
          <w:rFonts w:ascii="Times New Roman" w:eastAsia="Segoe UI" w:hAnsi="Times New Roman"/>
          <w:b/>
          <w:bCs/>
          <w:sz w:val="24"/>
          <w:shd w:val="clear" w:color="auto" w:fill="FFFFFF"/>
        </w:rPr>
      </w:pPr>
    </w:p>
    <w:p w14:paraId="204A62EC" w14:textId="77777777" w:rsidR="000D1F13" w:rsidRDefault="000D1F13">
      <w:pPr>
        <w:spacing w:line="360" w:lineRule="auto"/>
        <w:rPr>
          <w:rFonts w:ascii="Times New Roman" w:hAnsi="Times New Roman"/>
        </w:rPr>
      </w:pPr>
    </w:p>
    <w:sectPr w:rsidR="000D1F13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EE65D" w14:textId="77777777" w:rsidR="00DD4586" w:rsidRDefault="00DD4586">
      <w:r>
        <w:separator/>
      </w:r>
    </w:p>
  </w:endnote>
  <w:endnote w:type="continuationSeparator" w:id="0">
    <w:p w14:paraId="2C8CB9A0" w14:textId="77777777" w:rsidR="00DD4586" w:rsidRDefault="00DD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19454" w14:textId="77777777" w:rsidR="000D1F1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5755"/>
              <wp:effectExtent l="0" t="0" r="18415" b="0"/>
              <wp:wrapNone/>
              <wp:docPr id="1693555148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F7BC9C" w14:textId="77777777" w:rsidR="000D1F1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6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" filled="f" stroked="f">
              <v:textbox style="mso-fit-shape-to-text:t" inset="20pt,0,0,15pt">
                <w:txbxContent>
                  <w:p w14:paraId="56F7BC9C" w14:textId="77777777" w:rsidR="000D1F1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58D36" w14:textId="77777777" w:rsidR="000D1F1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5755"/>
              <wp:effectExtent l="0" t="0" r="18415" b="0"/>
              <wp:wrapNone/>
              <wp:docPr id="906661894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A16909" w14:textId="77777777" w:rsidR="000D1F1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6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" filled="f" stroked="f">
              <v:textbox style="mso-fit-shape-to-text:t" inset="20pt,0,0,15pt">
                <w:txbxContent>
                  <w:p w14:paraId="72A16909" w14:textId="77777777" w:rsidR="000D1F1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C52DB" w14:textId="77777777" w:rsidR="000D1F1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5755"/>
              <wp:effectExtent l="0" t="0" r="18415" b="0"/>
              <wp:wrapNone/>
              <wp:docPr id="1010854424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F5810F" w14:textId="77777777" w:rsidR="000D1F13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" filled="f" stroked="f">
              <v:textbox style="mso-fit-shape-to-text:t" inset="20pt,0,0,15pt">
                <w:txbxContent>
                  <w:p w14:paraId="71F5810F" w14:textId="77777777" w:rsidR="000D1F13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8788D" w14:textId="77777777" w:rsidR="00DD4586" w:rsidRDefault="00DD4586">
      <w:r>
        <w:separator/>
      </w:r>
    </w:p>
  </w:footnote>
  <w:footnote w:type="continuationSeparator" w:id="0">
    <w:p w14:paraId="46F80429" w14:textId="77777777" w:rsidR="00DD4586" w:rsidRDefault="00DD4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axNDMwMDSxNDGwMDVR0lEKTi0uzszPAykwrAUAFER1QywAAAA="/>
    <w:docVar w:name="commondata" w:val="eyJoZGlkIjoiYmE1MTMwOWI3NzA1M2U3MzQ2NTdlYjlhZjQzNzJhZjYifQ=="/>
    <w:docVar w:name="KSO_WPS_MARK_KEY" w:val="118f1691-66f6-471d-b561-ee106f631625"/>
  </w:docVars>
  <w:rsids>
    <w:rsidRoot w:val="00FA3EAA"/>
    <w:rsid w:val="000A4DBF"/>
    <w:rsid w:val="000D1F13"/>
    <w:rsid w:val="001B0959"/>
    <w:rsid w:val="002F25D8"/>
    <w:rsid w:val="00325393"/>
    <w:rsid w:val="006D7C6B"/>
    <w:rsid w:val="00DD4586"/>
    <w:rsid w:val="00ED32EE"/>
    <w:rsid w:val="00FA3EAA"/>
    <w:rsid w:val="03A321E3"/>
    <w:rsid w:val="0A02568F"/>
    <w:rsid w:val="0C8A3A68"/>
    <w:rsid w:val="0DA87805"/>
    <w:rsid w:val="0E307789"/>
    <w:rsid w:val="0EDC2A6A"/>
    <w:rsid w:val="0FC91CB4"/>
    <w:rsid w:val="10180D4E"/>
    <w:rsid w:val="101910F7"/>
    <w:rsid w:val="2269608B"/>
    <w:rsid w:val="24F827FA"/>
    <w:rsid w:val="25BA7E52"/>
    <w:rsid w:val="284E6D03"/>
    <w:rsid w:val="28D97585"/>
    <w:rsid w:val="29001E4B"/>
    <w:rsid w:val="2C016968"/>
    <w:rsid w:val="2DC54767"/>
    <w:rsid w:val="2E7E0E3F"/>
    <w:rsid w:val="2F61591C"/>
    <w:rsid w:val="41C05F07"/>
    <w:rsid w:val="437048E9"/>
    <w:rsid w:val="47AB5220"/>
    <w:rsid w:val="49072A7F"/>
    <w:rsid w:val="4E5E2FEC"/>
    <w:rsid w:val="55565269"/>
    <w:rsid w:val="5A2A6479"/>
    <w:rsid w:val="5AAE0E58"/>
    <w:rsid w:val="640241BF"/>
    <w:rsid w:val="669D0F26"/>
    <w:rsid w:val="679D34B6"/>
    <w:rsid w:val="68FB4800"/>
    <w:rsid w:val="70E1282C"/>
    <w:rsid w:val="71306613"/>
    <w:rsid w:val="7CBE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7FE29C-BC37-4326-B61B-8A090B3B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Title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480" w:lineRule="auto"/>
      <w:jc w:val="center"/>
      <w:outlineLvl w:val="3"/>
    </w:pPr>
    <w:rPr>
      <w:rFonts w:ascii="Arial" w:hAnsi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pPr>
      <w:jc w:val="both"/>
    </w:pPr>
    <w:rPr>
      <w:b/>
      <w:bCs/>
      <w:sz w:val="20"/>
      <w:szCs w:val="20"/>
    </w:rPr>
  </w:style>
  <w:style w:type="character" w:styleId="Strong">
    <w:name w:val="Strong"/>
    <w:basedOn w:val="DefaultParagraphFont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customStyle="1" w:styleId="a">
    <w:name w:val="意见"/>
    <w:basedOn w:val="Normal"/>
    <w:qFormat/>
    <w:rPr>
      <w:color w:val="FF0000"/>
      <w:sz w:val="28"/>
    </w:rPr>
  </w:style>
  <w:style w:type="paragraph" w:customStyle="1" w:styleId="a0">
    <w:name w:val="注"/>
    <w:basedOn w:val="Normal"/>
    <w:qFormat/>
    <w:rPr>
      <w:rFonts w:hint="eastAsia"/>
    </w:rPr>
  </w:style>
  <w:style w:type="paragraph" w:customStyle="1" w:styleId="1">
    <w:name w:val="正文1"/>
    <w:basedOn w:val="Normal"/>
    <w:qFormat/>
    <w:pPr>
      <w:spacing w:line="360" w:lineRule="auto"/>
    </w:pPr>
    <w:rPr>
      <w:sz w:val="24"/>
    </w:r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  <w:spacing w:before="53"/>
      <w:jc w:val="center"/>
    </w:pPr>
    <w:rPr>
      <w:rFonts w:eastAsia="Times New Roman"/>
      <w:kern w:val="0"/>
      <w:sz w:val="22"/>
    </w:rPr>
  </w:style>
  <w:style w:type="character" w:customStyle="1" w:styleId="FooterChar">
    <w:name w:val="Footer Char"/>
    <w:basedOn w:val="DefaultParagraphFont"/>
    <w:link w:val="Footer"/>
    <w:rPr>
      <w:rFonts w:ascii="Calibri" w:hAnsi="Calibr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/>
      <w:kern w:val="2"/>
      <w:sz w:val="21"/>
      <w:szCs w:val="24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="Calibri" w:hAnsi="Calibri"/>
      <w:b/>
      <w:bCs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tdbase.or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1250</Words>
  <Characters>7127</Characters>
  <Application>Microsoft Office Word</Application>
  <DocSecurity>0</DocSecurity>
  <Lines>59</Lines>
  <Paragraphs>16</Paragraphs>
  <ScaleCrop>false</ScaleCrop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adios</dc:creator>
  <cp:lastModifiedBy>Khanapur, Soumya</cp:lastModifiedBy>
  <cp:revision>4</cp:revision>
  <dcterms:created xsi:type="dcterms:W3CDTF">2025-06-04T07:35:00Z</dcterms:created>
  <dcterms:modified xsi:type="dcterms:W3CDTF">2025-06-15T00:36:00Z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D3506548481D435F97BB26CD137B6BD2_12</vt:lpwstr>
  </property>
  <property fmtid="{D5CDD505-2E9C-101B-9397-08002B2CF9AE}" pid="4" name="KSOTemplateDocerSaveRecord">
    <vt:lpwstr>eyJoZGlkIjoiN2Q1OGZmY2YxODAyZDk1ZjFmNmRiYjQ1MzliYzYzYzciLCJ1c2VySWQiOiIzMTU0ODEzMjIifQ==</vt:lpwstr>
  </property>
  <property fmtid="{D5CDD505-2E9C-101B-9397-08002B2CF9AE}" pid="5" name="ClassificationContentMarkingFooterShapeIds">
    <vt:lpwstr>3c406a18,64f199cc,360a9006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2025-06-04T07:35:22Z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b605c823-e623-4ec7-ae06-f84912dbbab1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