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E1D45" w14:textId="77777777" w:rsidR="00967A32" w:rsidRPr="00DD52CC" w:rsidRDefault="00000000">
      <w:pPr>
        <w:spacing w:line="480" w:lineRule="auto"/>
        <w:rPr>
          <w:rFonts w:ascii="Times New Roman" w:hAnsi="Times New Roman" w:cs="Times New Roman"/>
        </w:rPr>
      </w:pPr>
      <w:r w:rsidRPr="00DD52CC">
        <w:rPr>
          <w:rFonts w:ascii="Times New Roman" w:hAnsi="Times New Roman" w:cs="Times New Roman"/>
          <w:b/>
          <w:bCs/>
        </w:rPr>
        <w:t xml:space="preserve">Supplementary Table S1. </w:t>
      </w:r>
      <w:r w:rsidRPr="00DD52CC">
        <w:rPr>
          <w:rFonts w:ascii="Times New Roman" w:hAnsi="Times New Roman" w:cs="Times New Roman"/>
        </w:rPr>
        <w:t xml:space="preserve">Coefficients of each gene in risk </w:t>
      </w:r>
      <w:r w:rsidRPr="00DD52CC">
        <w:rPr>
          <w:rFonts w:ascii="Times New Roman" w:hAnsi="Times New Roman" w:cs="Times New Roman" w:hint="eastAsia"/>
        </w:rPr>
        <w:t>model.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943"/>
        <w:gridCol w:w="3255"/>
      </w:tblGrid>
      <w:tr w:rsidR="00967A32" w:rsidRPr="00DD52CC" w14:paraId="48AC2CAA" w14:textId="77777777"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</w:tcPr>
          <w:p w14:paraId="4375AA65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2CC">
              <w:rPr>
                <w:rFonts w:ascii="Times New Roman" w:hAnsi="Times New Roman" w:cs="Times New Roman"/>
                <w:b/>
                <w:bCs/>
              </w:rPr>
              <w:t>Gene</w:t>
            </w:r>
          </w:p>
        </w:tc>
        <w:tc>
          <w:tcPr>
            <w:tcW w:w="3260" w:type="dxa"/>
            <w:tcBorders>
              <w:left w:val="nil"/>
              <w:bottom w:val="single" w:sz="4" w:space="0" w:color="auto"/>
              <w:right w:val="nil"/>
            </w:tcBorders>
          </w:tcPr>
          <w:p w14:paraId="1416C5BA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52CC">
              <w:rPr>
                <w:rFonts w:ascii="Times New Roman" w:hAnsi="Times New Roman" w:cs="Times New Roman"/>
                <w:b/>
                <w:bCs/>
                <w:color w:val="000000"/>
              </w:rPr>
              <w:t>Coefficient</w:t>
            </w:r>
          </w:p>
        </w:tc>
      </w:tr>
      <w:tr w:rsidR="00967A32" w:rsidRPr="00DD52CC" w14:paraId="7EDF5726" w14:textId="77777777"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3A4329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ABCB4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2F47B9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-0.473301216691802</w:t>
            </w:r>
          </w:p>
        </w:tc>
      </w:tr>
      <w:tr w:rsidR="00967A32" w:rsidRPr="00DD52CC" w14:paraId="36805EEC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591F4FEE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CEL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214A3282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0.492269172363858</w:t>
            </w:r>
          </w:p>
        </w:tc>
      </w:tr>
      <w:tr w:rsidR="00967A32" w:rsidRPr="00DD52CC" w14:paraId="4A1597F2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75C65853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CRABP2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5376B20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0.701799082928005</w:t>
            </w:r>
          </w:p>
        </w:tc>
      </w:tr>
      <w:tr w:rsidR="00967A32" w:rsidRPr="00DD52CC" w14:paraId="33AC3EA5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3972F947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EPHX2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0AD1F4E2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-0.0929506867665202</w:t>
            </w:r>
          </w:p>
        </w:tc>
      </w:tr>
      <w:tr w:rsidR="00967A32" w:rsidRPr="00DD52CC" w14:paraId="0A73D02E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71EC10C9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HAO2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084CEEDA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-0.38877843941001</w:t>
            </w:r>
          </w:p>
        </w:tc>
      </w:tr>
      <w:tr w:rsidR="00967A32" w:rsidRPr="00DD52CC" w14:paraId="1C77F6CC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180623EB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HSD11B2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3E9CB27B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-0.707739991490133</w:t>
            </w:r>
          </w:p>
        </w:tc>
      </w:tr>
      <w:tr w:rsidR="00967A32" w:rsidRPr="00DD52CC" w14:paraId="026D83C7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4143A8FB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HSD3B7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BB679DA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1.55076724151043</w:t>
            </w:r>
          </w:p>
        </w:tc>
      </w:tr>
      <w:tr w:rsidR="00967A32" w:rsidRPr="00DD52CC" w14:paraId="17D37724" w14:textId="77777777"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14:paraId="3E652C21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SULT2B1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4A5AC8BA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0.24532696409661</w:t>
            </w:r>
          </w:p>
        </w:tc>
      </w:tr>
      <w:tr w:rsidR="00967A32" w:rsidRPr="00DD52CC" w14:paraId="63660574" w14:textId="77777777"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8E6550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TOP2A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D1819C" w14:textId="77777777" w:rsidR="00967A32" w:rsidRPr="00DD52CC" w:rsidRDefault="00000000">
            <w:pPr>
              <w:spacing w:beforeLines="50" w:before="163" w:afterLines="50" w:after="163" w:line="480" w:lineRule="auto"/>
              <w:jc w:val="center"/>
              <w:rPr>
                <w:rFonts w:ascii="Times New Roman" w:hAnsi="Times New Roman" w:cs="Times New Roman"/>
              </w:rPr>
            </w:pPr>
            <w:r w:rsidRPr="00DD52CC">
              <w:rPr>
                <w:rFonts w:ascii="Times New Roman" w:hAnsi="Times New Roman" w:cs="Times New Roman"/>
              </w:rPr>
              <w:t>1.03371800491136</w:t>
            </w:r>
          </w:p>
        </w:tc>
      </w:tr>
    </w:tbl>
    <w:p w14:paraId="5BEC0D6E" w14:textId="77777777" w:rsidR="00967A32" w:rsidRPr="00DD52CC" w:rsidRDefault="00967A32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09CC0A15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73AB884A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169875B9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71E8F0FA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10719E8F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71DC919D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35CB20AF" w14:textId="77777777" w:rsidR="00967A32" w:rsidRPr="00DD52CC" w:rsidRDefault="00000000">
      <w:pPr>
        <w:spacing w:after="100" w:afterAutospacing="1" w:line="360" w:lineRule="auto"/>
        <w:rPr>
          <w:rFonts w:ascii="Times New Roman" w:hAnsi="Times New Roman" w:cs="Times New Roman"/>
        </w:rPr>
      </w:pPr>
      <w:r w:rsidRPr="00DD52CC">
        <w:rPr>
          <w:rFonts w:ascii="Times New Roman" w:hAnsi="Times New Roman" w:cs="Times New Roman"/>
          <w:b/>
          <w:bCs/>
        </w:rPr>
        <w:lastRenderedPageBreak/>
        <w:t xml:space="preserve">Supplementary Table S2. </w:t>
      </w:r>
      <w:r w:rsidRPr="00DD52CC">
        <w:rPr>
          <w:rFonts w:ascii="Times New Roman" w:hAnsi="Times New Roman" w:cs="Times New Roman"/>
        </w:rPr>
        <w:t>Sequences of si-TOP2A and primers</w:t>
      </w:r>
    </w:p>
    <w:tbl>
      <w:tblPr>
        <w:tblW w:w="10786" w:type="dxa"/>
        <w:jc w:val="center"/>
        <w:tblLook w:val="04A0" w:firstRow="1" w:lastRow="0" w:firstColumn="1" w:lastColumn="0" w:noHBand="0" w:noVBand="1"/>
      </w:tblPr>
      <w:tblGrid>
        <w:gridCol w:w="1664"/>
        <w:gridCol w:w="4561"/>
        <w:gridCol w:w="4561"/>
      </w:tblGrid>
      <w:tr w:rsidR="00967A32" w:rsidRPr="00DD52CC" w14:paraId="6FFB8C98" w14:textId="77777777">
        <w:trPr>
          <w:trHeight w:val="275"/>
          <w:jc w:val="center"/>
        </w:trPr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B19BBC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Gene</w:t>
            </w:r>
          </w:p>
        </w:tc>
        <w:tc>
          <w:tcPr>
            <w:tcW w:w="4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B0640C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5’ - 3’</w:t>
            </w:r>
          </w:p>
        </w:tc>
        <w:tc>
          <w:tcPr>
            <w:tcW w:w="4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FAF7A7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3’ - 5’</w:t>
            </w:r>
          </w:p>
        </w:tc>
      </w:tr>
      <w:tr w:rsidR="00967A32" w:rsidRPr="00DD52CC" w14:paraId="70CE914A" w14:textId="77777777">
        <w:trPr>
          <w:trHeight w:val="275"/>
          <w:jc w:val="center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D95A3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</w:rPr>
              <w:t>si- TOP2A #1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724FC7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GGAGAAGAUUAUACAUGUAUC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B5CA9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UACAUGUAUAAUCUUCUCCAU</w:t>
            </w:r>
          </w:p>
        </w:tc>
      </w:tr>
      <w:tr w:rsidR="00967A32" w:rsidRPr="00DD52CC" w14:paraId="7F8D5F91" w14:textId="77777777">
        <w:trPr>
          <w:trHeight w:val="275"/>
          <w:jc w:val="center"/>
        </w:trPr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8B22D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si-</w:t>
            </w:r>
            <w:r w:rsidRPr="00DD52CC">
              <w:rPr>
                <w:rFonts w:ascii="Times New Roman" w:hAnsi="Times New Roman" w:cs="Times New Roman"/>
              </w:rPr>
              <w:t xml:space="preserve"> TOP2A</w:t>
            </w:r>
            <w:r w:rsidRPr="00DD52CC">
              <w:rPr>
                <w:rFonts w:ascii="Times New Roman" w:hAnsi="Times New Roman" w:cs="Times New Roman"/>
                <w:color w:val="000000"/>
              </w:rPr>
              <w:t xml:space="preserve"> #2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C85093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GCAAUUCUAUGCUGACAUAAC</w:t>
            </w: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C7E448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UAUGUCAGCAUAGAAUUGCUG</w:t>
            </w:r>
          </w:p>
        </w:tc>
      </w:tr>
      <w:tr w:rsidR="00967A32" w:rsidRPr="00DD52CC" w14:paraId="24AB7C77" w14:textId="77777777">
        <w:trPr>
          <w:trHeight w:val="275"/>
          <w:jc w:val="center"/>
        </w:trPr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982D77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si-NC</w:t>
            </w:r>
          </w:p>
        </w:tc>
        <w:tc>
          <w:tcPr>
            <w:tcW w:w="45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152EBD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UUCUCCGAACGUGUCACGUTT</w:t>
            </w:r>
          </w:p>
        </w:tc>
        <w:tc>
          <w:tcPr>
            <w:tcW w:w="45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1AEA98F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ACGUGACACGUUCGGAGAATT</w:t>
            </w:r>
          </w:p>
        </w:tc>
      </w:tr>
      <w:tr w:rsidR="00967A32" w:rsidRPr="00DD52CC" w14:paraId="55A539FE" w14:textId="77777777">
        <w:trPr>
          <w:trHeight w:val="275"/>
          <w:jc w:val="center"/>
        </w:trPr>
        <w:tc>
          <w:tcPr>
            <w:tcW w:w="16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D29D77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TOP2A</w:t>
            </w:r>
          </w:p>
        </w:tc>
        <w:tc>
          <w:tcPr>
            <w:tcW w:w="45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EFD849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AACAGCCTGTACCCTGATGG</w:t>
            </w:r>
          </w:p>
        </w:tc>
        <w:tc>
          <w:tcPr>
            <w:tcW w:w="45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496499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CGGTAGTGCCCATCATTCTT</w:t>
            </w:r>
          </w:p>
        </w:tc>
      </w:tr>
      <w:tr w:rsidR="00967A32" w:rsidRPr="00DD52CC" w14:paraId="514BB49F" w14:textId="77777777">
        <w:trPr>
          <w:trHeight w:val="275"/>
          <w:jc w:val="center"/>
        </w:trPr>
        <w:tc>
          <w:tcPr>
            <w:tcW w:w="166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EAE9B37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GAPDH</w:t>
            </w:r>
          </w:p>
        </w:tc>
        <w:tc>
          <w:tcPr>
            <w:tcW w:w="45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8573EE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AACTTTGGCATTGTGGAAGG</w:t>
            </w:r>
          </w:p>
        </w:tc>
        <w:tc>
          <w:tcPr>
            <w:tcW w:w="45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BD6154" w14:textId="77777777" w:rsidR="00967A32" w:rsidRPr="00DD52CC" w:rsidRDefault="00000000">
            <w:pPr>
              <w:spacing w:beforeLines="50" w:before="163" w:afterLines="50" w:after="163"/>
              <w:rPr>
                <w:rFonts w:ascii="Times New Roman" w:hAnsi="Times New Roman" w:cs="Times New Roman"/>
                <w:color w:val="000000"/>
              </w:rPr>
            </w:pPr>
            <w:r w:rsidRPr="00DD52CC">
              <w:rPr>
                <w:rFonts w:ascii="Times New Roman" w:hAnsi="Times New Roman" w:cs="Times New Roman"/>
                <w:color w:val="000000"/>
              </w:rPr>
              <w:t>ACACATTGGGGGTAGGAACA</w:t>
            </w:r>
          </w:p>
        </w:tc>
      </w:tr>
    </w:tbl>
    <w:p w14:paraId="605D212F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6FCEF7B7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72021A0B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55AE0DDB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11568020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3E7DFEE0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02A7BA82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77AACC9D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6E789680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233299D3" w14:textId="77777777" w:rsidR="00967A32" w:rsidRPr="00DD52CC" w:rsidRDefault="00000000">
      <w:pPr>
        <w:spacing w:line="480" w:lineRule="auto"/>
        <w:rPr>
          <w:rFonts w:ascii="Times New Roman" w:hAnsi="Times New Roman" w:cs="Times New Roman"/>
        </w:rPr>
      </w:pPr>
      <w:r w:rsidRPr="00DD52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8B7FC06" wp14:editId="354C36E4">
            <wp:extent cx="5269230" cy="5603875"/>
            <wp:effectExtent l="0" t="0" r="0" b="0"/>
            <wp:docPr id="39388000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8000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E7BA" w14:textId="77777777" w:rsidR="00967A32" w:rsidRPr="00DD52CC" w:rsidRDefault="00000000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DD52CC">
        <w:rPr>
          <w:rFonts w:ascii="Times New Roman" w:hAnsi="Times New Roman" w:cs="Times New Roman"/>
          <w:b/>
          <w:bCs/>
          <w:color w:val="000000"/>
        </w:rPr>
        <w:t xml:space="preserve">Supplementary Figure S1. </w:t>
      </w:r>
      <w:r w:rsidRPr="00DD52CC">
        <w:rPr>
          <w:rFonts w:ascii="Times New Roman" w:hAnsi="Times New Roman" w:cs="Times New Roman"/>
          <w:color w:val="000000"/>
        </w:rPr>
        <w:t>Survival analysis of each prognostic gene in TCGA cohort. (A)</w:t>
      </w:r>
      <w:r w:rsidRPr="00DD52CC">
        <w:rPr>
          <w:rFonts w:ascii="Times New Roman" w:hAnsi="Times New Roman" w:cs="Times New Roman"/>
        </w:rPr>
        <w:t xml:space="preserve"> </w:t>
      </w:r>
      <w:r w:rsidRPr="00DD52CC">
        <w:rPr>
          <w:rFonts w:ascii="Times New Roman" w:hAnsi="Times New Roman" w:cs="Times New Roman" w:hint="eastAsia"/>
        </w:rPr>
        <w:t>HAO2</w:t>
      </w:r>
      <w:r w:rsidRPr="00DD52CC">
        <w:rPr>
          <w:rFonts w:ascii="Times New Roman" w:hAnsi="Times New Roman" w:cs="Times New Roman"/>
          <w:color w:val="000000"/>
        </w:rPr>
        <w:t xml:space="preserve">.  (B) </w:t>
      </w:r>
      <w:r w:rsidRPr="00DD52CC">
        <w:rPr>
          <w:rFonts w:ascii="Times New Roman" w:hAnsi="Times New Roman" w:cs="Times New Roman" w:hint="eastAsia"/>
          <w:color w:val="000000"/>
        </w:rPr>
        <w:t>HSD3B7</w:t>
      </w:r>
      <w:r w:rsidRPr="00DD52CC">
        <w:rPr>
          <w:rFonts w:ascii="Times New Roman" w:hAnsi="Times New Roman" w:cs="Times New Roman"/>
          <w:color w:val="000000"/>
        </w:rPr>
        <w:t xml:space="preserve">. (C) </w:t>
      </w:r>
      <w:r w:rsidRPr="00DD52CC">
        <w:rPr>
          <w:rFonts w:ascii="Times New Roman" w:hAnsi="Times New Roman" w:cs="Times New Roman" w:hint="eastAsia"/>
          <w:color w:val="000000"/>
        </w:rPr>
        <w:t>HSD11B2</w:t>
      </w:r>
      <w:r w:rsidRPr="00DD52CC">
        <w:rPr>
          <w:rFonts w:ascii="Times New Roman" w:hAnsi="Times New Roman" w:cs="Times New Roman"/>
          <w:color w:val="000000"/>
        </w:rPr>
        <w:t>. (</w:t>
      </w:r>
      <w:r w:rsidRPr="00DD52CC">
        <w:rPr>
          <w:rFonts w:ascii="Times New Roman" w:hAnsi="Times New Roman" w:cs="Times New Roman" w:hint="eastAsia"/>
          <w:color w:val="000000"/>
        </w:rPr>
        <w:t>D</w:t>
      </w:r>
      <w:r w:rsidRPr="00DD52CC">
        <w:rPr>
          <w:rFonts w:ascii="Times New Roman" w:hAnsi="Times New Roman" w:cs="Times New Roman"/>
          <w:color w:val="000000"/>
        </w:rPr>
        <w:t>)</w:t>
      </w:r>
      <w:r w:rsidRPr="00DD52CC">
        <w:rPr>
          <w:rFonts w:ascii="Times New Roman" w:hAnsi="Times New Roman" w:cs="Times New Roman"/>
        </w:rPr>
        <w:t xml:space="preserve"> </w:t>
      </w:r>
      <w:r w:rsidRPr="00DD52CC">
        <w:rPr>
          <w:rFonts w:ascii="Times New Roman" w:hAnsi="Times New Roman" w:cs="Times New Roman" w:hint="eastAsia"/>
          <w:color w:val="000000"/>
        </w:rPr>
        <w:t>SULT2B1</w:t>
      </w:r>
      <w:r w:rsidRPr="00DD52CC">
        <w:rPr>
          <w:rFonts w:ascii="Times New Roman" w:hAnsi="Times New Roman" w:cs="Times New Roman"/>
          <w:color w:val="000000"/>
        </w:rPr>
        <w:t>.  (</w:t>
      </w:r>
      <w:r w:rsidRPr="00DD52CC">
        <w:rPr>
          <w:rFonts w:ascii="Times New Roman" w:hAnsi="Times New Roman" w:cs="Times New Roman" w:hint="eastAsia"/>
          <w:color w:val="000000"/>
        </w:rPr>
        <w:t>E</w:t>
      </w:r>
      <w:r w:rsidRPr="00DD52CC">
        <w:rPr>
          <w:rFonts w:ascii="Times New Roman" w:hAnsi="Times New Roman" w:cs="Times New Roman"/>
          <w:color w:val="000000"/>
        </w:rPr>
        <w:t xml:space="preserve">) </w:t>
      </w:r>
      <w:r w:rsidRPr="00DD52CC">
        <w:rPr>
          <w:rFonts w:ascii="Times New Roman" w:hAnsi="Times New Roman" w:cs="Times New Roman" w:hint="eastAsia"/>
          <w:color w:val="000000"/>
        </w:rPr>
        <w:t>TOP2A</w:t>
      </w:r>
      <w:r w:rsidRPr="00DD52CC">
        <w:rPr>
          <w:rFonts w:ascii="Times New Roman" w:hAnsi="Times New Roman" w:cs="Times New Roman"/>
          <w:color w:val="000000"/>
        </w:rPr>
        <w:t>. (</w:t>
      </w:r>
      <w:r w:rsidRPr="00DD52CC">
        <w:rPr>
          <w:rFonts w:ascii="Times New Roman" w:hAnsi="Times New Roman" w:cs="Times New Roman" w:hint="eastAsia"/>
          <w:color w:val="000000"/>
        </w:rPr>
        <w:t>F</w:t>
      </w:r>
      <w:r w:rsidRPr="00DD52CC">
        <w:rPr>
          <w:rFonts w:ascii="Times New Roman" w:hAnsi="Times New Roman" w:cs="Times New Roman"/>
          <w:color w:val="000000"/>
        </w:rPr>
        <w:t xml:space="preserve">) </w:t>
      </w:r>
      <w:r w:rsidRPr="00DD52CC">
        <w:rPr>
          <w:rFonts w:ascii="Times New Roman" w:hAnsi="Times New Roman" w:cs="Times New Roman" w:hint="eastAsia"/>
          <w:color w:val="000000"/>
        </w:rPr>
        <w:t>ABCB4</w:t>
      </w:r>
      <w:r w:rsidRPr="00DD52CC">
        <w:rPr>
          <w:rFonts w:ascii="Times New Roman" w:hAnsi="Times New Roman" w:cs="Times New Roman"/>
          <w:color w:val="000000"/>
        </w:rPr>
        <w:t>. (</w:t>
      </w:r>
      <w:r w:rsidRPr="00DD52CC">
        <w:rPr>
          <w:rFonts w:ascii="Times New Roman" w:hAnsi="Times New Roman" w:cs="Times New Roman" w:hint="eastAsia"/>
          <w:color w:val="000000"/>
        </w:rPr>
        <w:t>G</w:t>
      </w:r>
      <w:r w:rsidRPr="00DD52CC">
        <w:rPr>
          <w:rFonts w:ascii="Times New Roman" w:hAnsi="Times New Roman" w:cs="Times New Roman"/>
          <w:color w:val="000000"/>
        </w:rPr>
        <w:t>)</w:t>
      </w:r>
      <w:r w:rsidRPr="00DD52CC">
        <w:rPr>
          <w:rFonts w:ascii="Times New Roman" w:hAnsi="Times New Roman" w:cs="Times New Roman" w:hint="eastAsia"/>
          <w:color w:val="000000"/>
        </w:rPr>
        <w:t xml:space="preserve"> CEL. </w:t>
      </w:r>
      <w:r w:rsidRPr="00DD52CC">
        <w:rPr>
          <w:rFonts w:ascii="Times New Roman" w:hAnsi="Times New Roman" w:cs="Times New Roman"/>
          <w:color w:val="000000"/>
        </w:rPr>
        <w:t>(</w:t>
      </w:r>
      <w:r w:rsidRPr="00DD52CC">
        <w:rPr>
          <w:rFonts w:ascii="Times New Roman" w:hAnsi="Times New Roman" w:cs="Times New Roman" w:hint="eastAsia"/>
          <w:color w:val="000000"/>
        </w:rPr>
        <w:t>H</w:t>
      </w:r>
      <w:r w:rsidRPr="00DD52CC">
        <w:rPr>
          <w:rFonts w:ascii="Times New Roman" w:hAnsi="Times New Roman" w:cs="Times New Roman"/>
          <w:color w:val="000000"/>
        </w:rPr>
        <w:t>)</w:t>
      </w:r>
      <w:r w:rsidRPr="00DD52CC">
        <w:rPr>
          <w:rFonts w:ascii="Times New Roman" w:hAnsi="Times New Roman" w:cs="Times New Roman" w:hint="eastAsia"/>
          <w:color w:val="000000"/>
        </w:rPr>
        <w:t xml:space="preserve"> CRABP2. </w:t>
      </w:r>
      <w:r w:rsidRPr="00DD52CC">
        <w:rPr>
          <w:rFonts w:ascii="Times New Roman" w:hAnsi="Times New Roman" w:cs="Times New Roman"/>
          <w:color w:val="000000"/>
        </w:rPr>
        <w:t>(</w:t>
      </w:r>
      <w:r w:rsidRPr="00DD52CC">
        <w:rPr>
          <w:rFonts w:ascii="Times New Roman" w:hAnsi="Times New Roman" w:cs="Times New Roman" w:hint="eastAsia"/>
          <w:color w:val="000000"/>
        </w:rPr>
        <w:t>I</w:t>
      </w:r>
      <w:r w:rsidRPr="00DD52CC">
        <w:rPr>
          <w:rFonts w:ascii="Times New Roman" w:hAnsi="Times New Roman" w:cs="Times New Roman"/>
          <w:color w:val="000000"/>
        </w:rPr>
        <w:t>)</w:t>
      </w:r>
      <w:r w:rsidRPr="00DD52CC">
        <w:rPr>
          <w:rFonts w:ascii="Times New Roman" w:hAnsi="Times New Roman" w:cs="Times New Roman" w:hint="eastAsia"/>
          <w:color w:val="000000"/>
        </w:rPr>
        <w:t xml:space="preserve"> EPHX2.</w:t>
      </w:r>
    </w:p>
    <w:p w14:paraId="331DADA0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149AB1EA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0DA808DF" w14:textId="77777777" w:rsidR="00967A32" w:rsidRPr="00DD52CC" w:rsidRDefault="00000000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DD52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E291F5" wp14:editId="787B3B10">
            <wp:extent cx="5267783" cy="4114800"/>
            <wp:effectExtent l="0" t="0" r="0" b="0"/>
            <wp:docPr id="612305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05842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783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52CC">
        <w:rPr>
          <w:rFonts w:ascii="Times New Roman" w:hAnsi="Times New Roman" w:cs="Times New Roman"/>
          <w:b/>
          <w:bCs/>
          <w:color w:val="000000"/>
        </w:rPr>
        <w:t>Supplementary Figure S2</w:t>
      </w:r>
      <w:r w:rsidRPr="00DD52CC">
        <w:rPr>
          <w:rFonts w:ascii="Times New Roman" w:hAnsi="Times New Roman" w:cs="Times New Roman" w:hint="eastAsia"/>
          <w:b/>
          <w:bCs/>
          <w:color w:val="000000"/>
        </w:rPr>
        <w:t>.</w:t>
      </w:r>
      <w:r w:rsidRPr="00DD52C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D52CC">
        <w:rPr>
          <w:rFonts w:ascii="Times New Roman" w:hAnsi="Times New Roman" w:cs="Times New Roman"/>
        </w:rPr>
        <w:t xml:space="preserve">Prognostic analysis of the risk model in </w:t>
      </w:r>
      <w:bookmarkStart w:id="0" w:name="_Hlk168761800"/>
      <w:r w:rsidRPr="00DD52CC">
        <w:rPr>
          <w:rFonts w:ascii="Times New Roman" w:hAnsi="Times New Roman" w:cs="Times New Roman"/>
        </w:rPr>
        <w:t>validation cohort</w:t>
      </w:r>
      <w:bookmarkEnd w:id="0"/>
      <w:r w:rsidRPr="00DD52CC">
        <w:rPr>
          <w:rFonts w:ascii="Times New Roman" w:hAnsi="Times New Roman" w:cs="Times New Roman"/>
        </w:rPr>
        <w:t>s. The distribution and median value of the risk scores in GSE167573 cohort (</w:t>
      </w:r>
      <w:r w:rsidRPr="00DD52CC">
        <w:rPr>
          <w:rFonts w:ascii="Times New Roman" w:hAnsi="Times New Roman" w:cs="Times New Roman"/>
          <w:b/>
          <w:bCs/>
        </w:rPr>
        <w:t>A</w:t>
      </w:r>
      <w:r w:rsidRPr="00DD52CC">
        <w:rPr>
          <w:rFonts w:ascii="Times New Roman" w:hAnsi="Times New Roman" w:cs="Times New Roman"/>
        </w:rPr>
        <w:t>) and FAHWMU cohort (</w:t>
      </w:r>
      <w:r w:rsidRPr="00DD52CC">
        <w:rPr>
          <w:rFonts w:ascii="Times New Roman" w:hAnsi="Times New Roman" w:cs="Times New Roman"/>
          <w:b/>
          <w:bCs/>
        </w:rPr>
        <w:t>C</w:t>
      </w:r>
      <w:r w:rsidRPr="00DD52CC">
        <w:rPr>
          <w:rFonts w:ascii="Times New Roman" w:hAnsi="Times New Roman" w:cs="Times New Roman"/>
        </w:rPr>
        <w:t>). Distributions of the overall survival (OS) status in GSE167573 cohort (</w:t>
      </w:r>
      <w:r w:rsidRPr="00DD52CC">
        <w:rPr>
          <w:rFonts w:ascii="Times New Roman" w:hAnsi="Times New Roman" w:cs="Times New Roman"/>
          <w:b/>
          <w:bCs/>
        </w:rPr>
        <w:t>B</w:t>
      </w:r>
      <w:r w:rsidRPr="00DD52CC">
        <w:rPr>
          <w:rFonts w:ascii="Times New Roman" w:hAnsi="Times New Roman" w:cs="Times New Roman"/>
        </w:rPr>
        <w:t>) and FAHWMU cohort (</w:t>
      </w:r>
      <w:r w:rsidRPr="00DD52CC">
        <w:rPr>
          <w:rFonts w:ascii="Times New Roman" w:hAnsi="Times New Roman" w:cs="Times New Roman"/>
          <w:b/>
          <w:bCs/>
        </w:rPr>
        <w:t>D</w:t>
      </w:r>
      <w:r w:rsidRPr="00DD52CC">
        <w:rPr>
          <w:rFonts w:ascii="Times New Roman" w:hAnsi="Times New Roman" w:cs="Times New Roman"/>
        </w:rPr>
        <w:t>). PCA plot in GSE167573 cohort (</w:t>
      </w:r>
      <w:r w:rsidRPr="00DD52CC">
        <w:rPr>
          <w:rFonts w:ascii="Times New Roman" w:hAnsi="Times New Roman" w:cs="Times New Roman"/>
          <w:b/>
          <w:bCs/>
        </w:rPr>
        <w:t>E</w:t>
      </w:r>
      <w:r w:rsidRPr="00DD52CC">
        <w:rPr>
          <w:rFonts w:ascii="Times New Roman" w:hAnsi="Times New Roman" w:cs="Times New Roman"/>
        </w:rPr>
        <w:t>) and FAHWMU cohort (</w:t>
      </w:r>
      <w:r w:rsidRPr="00DD52CC">
        <w:rPr>
          <w:rFonts w:ascii="Times New Roman" w:hAnsi="Times New Roman" w:cs="Times New Roman"/>
          <w:b/>
          <w:bCs/>
        </w:rPr>
        <w:t>G</w:t>
      </w:r>
      <w:r w:rsidRPr="00DD52CC">
        <w:rPr>
          <w:rFonts w:ascii="Times New Roman" w:hAnsi="Times New Roman" w:cs="Times New Roman"/>
        </w:rPr>
        <w:t>). t-SNE analysis in GSE167573 cohort (</w:t>
      </w:r>
      <w:r w:rsidRPr="00DD52CC">
        <w:rPr>
          <w:rFonts w:ascii="Times New Roman" w:hAnsi="Times New Roman" w:cs="Times New Roman"/>
          <w:b/>
          <w:bCs/>
        </w:rPr>
        <w:t>F</w:t>
      </w:r>
      <w:r w:rsidRPr="00DD52CC">
        <w:rPr>
          <w:rFonts w:ascii="Times New Roman" w:hAnsi="Times New Roman" w:cs="Times New Roman"/>
        </w:rPr>
        <w:t>) and FAHWMU cohort (</w:t>
      </w:r>
      <w:r w:rsidRPr="00DD52CC">
        <w:rPr>
          <w:rFonts w:ascii="Times New Roman" w:hAnsi="Times New Roman" w:cs="Times New Roman"/>
          <w:b/>
          <w:bCs/>
        </w:rPr>
        <w:t>H</w:t>
      </w:r>
      <w:r w:rsidRPr="00DD52CC">
        <w:rPr>
          <w:rFonts w:ascii="Times New Roman" w:hAnsi="Times New Roman" w:cs="Times New Roman"/>
        </w:rPr>
        <w:t>). Kaplan-Meier curves for OS of patients in the high-risk group and low-risk group in GSE167573 cohort (</w:t>
      </w:r>
      <w:r w:rsidRPr="00DD52CC">
        <w:rPr>
          <w:rFonts w:ascii="Times New Roman" w:hAnsi="Times New Roman" w:cs="Times New Roman"/>
          <w:b/>
          <w:bCs/>
        </w:rPr>
        <w:t>I</w:t>
      </w:r>
      <w:r w:rsidRPr="00DD52CC">
        <w:rPr>
          <w:rFonts w:ascii="Times New Roman" w:hAnsi="Times New Roman" w:cs="Times New Roman"/>
        </w:rPr>
        <w:t>) and FAHWMU cohort (</w:t>
      </w:r>
      <w:r w:rsidRPr="00DD52CC">
        <w:rPr>
          <w:rFonts w:ascii="Times New Roman" w:hAnsi="Times New Roman" w:cs="Times New Roman"/>
          <w:b/>
          <w:bCs/>
        </w:rPr>
        <w:t>K</w:t>
      </w:r>
      <w:r w:rsidRPr="00DD52CC">
        <w:rPr>
          <w:rFonts w:ascii="Times New Roman" w:hAnsi="Times New Roman" w:cs="Times New Roman"/>
        </w:rPr>
        <w:t>). Time-dependent ROC curves for OS in GSE167573 cohort (</w:t>
      </w:r>
      <w:r w:rsidRPr="00DD52CC">
        <w:rPr>
          <w:rFonts w:ascii="Times New Roman" w:hAnsi="Times New Roman" w:cs="Times New Roman"/>
          <w:b/>
          <w:bCs/>
        </w:rPr>
        <w:t>J</w:t>
      </w:r>
      <w:r w:rsidRPr="00DD52CC">
        <w:rPr>
          <w:rFonts w:ascii="Times New Roman" w:hAnsi="Times New Roman" w:cs="Times New Roman"/>
        </w:rPr>
        <w:t>) and FAHWMU cohort (</w:t>
      </w:r>
      <w:r w:rsidRPr="00DD52CC">
        <w:rPr>
          <w:rFonts w:ascii="Times New Roman" w:hAnsi="Times New Roman" w:cs="Times New Roman"/>
          <w:b/>
          <w:bCs/>
        </w:rPr>
        <w:t>L</w:t>
      </w:r>
      <w:r w:rsidRPr="00DD52CC">
        <w:rPr>
          <w:rFonts w:ascii="Times New Roman" w:hAnsi="Times New Roman" w:cs="Times New Roman"/>
        </w:rPr>
        <w:t xml:space="preserve">). </w:t>
      </w:r>
    </w:p>
    <w:p w14:paraId="02690298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119541CF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260A6BB5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78D2D07F" w14:textId="77777777" w:rsidR="00967A32" w:rsidRPr="00DD52CC" w:rsidRDefault="00000000">
      <w:pPr>
        <w:spacing w:line="480" w:lineRule="auto"/>
        <w:rPr>
          <w:rFonts w:ascii="Times New Roman" w:hAnsi="Times New Roman" w:cs="Times New Roman"/>
        </w:rPr>
      </w:pPr>
      <w:r w:rsidRPr="00DD52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E1D4685" wp14:editId="042723BA">
            <wp:extent cx="5273040" cy="4960620"/>
            <wp:effectExtent l="0" t="0" r="0" b="0"/>
            <wp:docPr id="12224593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59391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9EDC" w14:textId="77777777" w:rsidR="00967A32" w:rsidRPr="00DD52CC" w:rsidRDefault="00000000">
      <w:pPr>
        <w:spacing w:line="480" w:lineRule="auto"/>
        <w:jc w:val="both"/>
        <w:rPr>
          <w:rFonts w:ascii="Times New Roman" w:hAnsi="Times New Roman" w:cs="Times New Roman"/>
          <w:color w:val="000000"/>
        </w:rPr>
      </w:pPr>
      <w:r w:rsidRPr="00DD52CC">
        <w:rPr>
          <w:rFonts w:ascii="Times New Roman" w:hAnsi="Times New Roman" w:cs="Times New Roman"/>
          <w:b/>
          <w:bCs/>
          <w:color w:val="000000"/>
        </w:rPr>
        <w:t>Supplementary Figure S3</w:t>
      </w:r>
      <w:r w:rsidRPr="00DD52CC">
        <w:rPr>
          <w:rFonts w:ascii="Times New Roman" w:hAnsi="Times New Roman" w:cs="Times New Roman" w:hint="eastAsia"/>
          <w:b/>
          <w:bCs/>
          <w:color w:val="000000"/>
        </w:rPr>
        <w:t xml:space="preserve">. </w:t>
      </w:r>
      <w:r w:rsidRPr="00DD52CC">
        <w:rPr>
          <w:rFonts w:ascii="Times New Roman" w:hAnsi="Times New Roman" w:cs="Times New Roman"/>
          <w:color w:val="000000"/>
        </w:rPr>
        <w:t xml:space="preserve">Association between risk score and immune checkpoint genes in validation cohorts. </w:t>
      </w:r>
      <w:r w:rsidRPr="00DD52CC">
        <w:rPr>
          <w:rFonts w:ascii="Times New Roman" w:hAnsi="Times New Roman" w:cs="Times New Roman"/>
        </w:rPr>
        <w:t>(</w:t>
      </w:r>
      <w:r w:rsidRPr="00DD52CC">
        <w:rPr>
          <w:rFonts w:ascii="Times New Roman" w:hAnsi="Times New Roman" w:cs="Times New Roman"/>
          <w:b/>
          <w:bCs/>
        </w:rPr>
        <w:t>A</w:t>
      </w:r>
      <w:r w:rsidRPr="00DD52CC">
        <w:rPr>
          <w:rFonts w:ascii="Times New Roman" w:hAnsi="Times New Roman" w:cs="Times New Roman"/>
        </w:rPr>
        <w:t>)</w:t>
      </w:r>
      <w:r w:rsidRPr="00DD52CC">
        <w:rPr>
          <w:rFonts w:ascii="Times New Roman" w:hAnsi="Times New Roman" w:cs="Times New Roman" w:hint="eastAsia"/>
        </w:rPr>
        <w:t xml:space="preserve"> </w:t>
      </w:r>
      <w:r w:rsidRPr="00DD52CC">
        <w:rPr>
          <w:rFonts w:ascii="Times New Roman" w:hAnsi="Times New Roman" w:cs="Times New Roman"/>
          <w:color w:val="000000"/>
        </w:rPr>
        <w:t xml:space="preserve">The expression of immune checkpoint genes between high- and low-risk groups </w:t>
      </w:r>
      <w:r w:rsidRPr="00DD52CC">
        <w:rPr>
          <w:rFonts w:ascii="Times New Roman" w:hAnsi="Times New Roman" w:cs="Times New Roman"/>
        </w:rPr>
        <w:t>in GSE167573 cohort</w:t>
      </w:r>
      <w:r w:rsidRPr="00DD52CC">
        <w:rPr>
          <w:rFonts w:ascii="Times New Roman" w:hAnsi="Times New Roman" w:cs="Times New Roman" w:hint="eastAsia"/>
        </w:rPr>
        <w:t>.</w:t>
      </w:r>
      <w:r w:rsidRPr="00DD52CC">
        <w:rPr>
          <w:rFonts w:ascii="Times New Roman" w:hAnsi="Times New Roman" w:cs="Times New Roman"/>
        </w:rPr>
        <w:t xml:space="preserve"> </w:t>
      </w:r>
      <w:r w:rsidRPr="00DD52CC">
        <w:rPr>
          <w:rFonts w:ascii="Times New Roman" w:hAnsi="Times New Roman" w:cs="Times New Roman"/>
          <w:color w:val="000000"/>
        </w:rPr>
        <w:t>(</w:t>
      </w:r>
      <w:r w:rsidRPr="00DD52CC">
        <w:rPr>
          <w:rFonts w:ascii="Times New Roman" w:hAnsi="Times New Roman" w:cs="Times New Roman"/>
          <w:b/>
          <w:bCs/>
          <w:color w:val="000000"/>
        </w:rPr>
        <w:t>B</w:t>
      </w:r>
      <w:r w:rsidRPr="00DD52CC">
        <w:rPr>
          <w:rFonts w:ascii="Times New Roman" w:hAnsi="Times New Roman" w:cs="Times New Roman"/>
          <w:color w:val="000000"/>
        </w:rPr>
        <w:t xml:space="preserve">) The expression of immune checkpoint genes between high- and low-risk groups </w:t>
      </w:r>
      <w:r w:rsidRPr="00DD52CC">
        <w:rPr>
          <w:rFonts w:ascii="Times New Roman" w:hAnsi="Times New Roman" w:cs="Times New Roman"/>
        </w:rPr>
        <w:t>in FAHWMU cohort</w:t>
      </w:r>
      <w:r w:rsidRPr="00DD52CC">
        <w:rPr>
          <w:rFonts w:ascii="Times New Roman" w:hAnsi="Times New Roman" w:cs="Times New Roman" w:hint="eastAsia"/>
        </w:rPr>
        <w:t xml:space="preserve">. </w:t>
      </w:r>
      <w:r w:rsidRPr="00DD52CC">
        <w:rPr>
          <w:rFonts w:ascii="Times New Roman" w:hAnsi="Times New Roman" w:cs="Times New Roman"/>
          <w:color w:val="000000"/>
        </w:rPr>
        <w:t>(</w:t>
      </w:r>
      <w:r w:rsidRPr="00DD52CC">
        <w:rPr>
          <w:rFonts w:ascii="Times New Roman" w:hAnsi="Times New Roman" w:cs="Times New Roman"/>
          <w:b/>
          <w:bCs/>
          <w:color w:val="000000"/>
        </w:rPr>
        <w:t>C</w:t>
      </w:r>
      <w:r w:rsidRPr="00DD52CC">
        <w:rPr>
          <w:rFonts w:ascii="Times New Roman" w:hAnsi="Times New Roman" w:cs="Times New Roman"/>
          <w:color w:val="000000"/>
        </w:rPr>
        <w:t xml:space="preserve">) Correlation between risk score and LAG3 in </w:t>
      </w:r>
      <w:r w:rsidRPr="00DD52CC">
        <w:rPr>
          <w:rFonts w:ascii="Times New Roman" w:hAnsi="Times New Roman" w:cs="Times New Roman"/>
        </w:rPr>
        <w:t>GSE167573 cohort</w:t>
      </w:r>
      <w:r w:rsidRPr="00DD52CC">
        <w:rPr>
          <w:rFonts w:ascii="Times New Roman" w:hAnsi="Times New Roman" w:cs="Times New Roman"/>
          <w:color w:val="000000"/>
        </w:rPr>
        <w:t xml:space="preserve">. </w:t>
      </w:r>
      <w:r w:rsidRPr="00DD52CC">
        <w:rPr>
          <w:rFonts w:ascii="Times New Roman" w:hAnsi="Times New Roman" w:cs="Times New Roman"/>
        </w:rPr>
        <w:t>(</w:t>
      </w:r>
      <w:r w:rsidRPr="00DD52CC">
        <w:rPr>
          <w:rFonts w:ascii="Times New Roman" w:hAnsi="Times New Roman" w:cs="Times New Roman" w:hint="eastAsia"/>
          <w:b/>
          <w:bCs/>
        </w:rPr>
        <w:t>D</w:t>
      </w:r>
      <w:r w:rsidRPr="00DD52CC">
        <w:rPr>
          <w:rFonts w:ascii="Times New Roman" w:hAnsi="Times New Roman" w:cs="Times New Roman"/>
        </w:rPr>
        <w:t>)</w:t>
      </w:r>
      <w:r w:rsidRPr="00DD52CC">
        <w:rPr>
          <w:rFonts w:ascii="Times New Roman" w:hAnsi="Times New Roman" w:cs="Times New Roman"/>
          <w:color w:val="000000"/>
        </w:rPr>
        <w:t xml:space="preserve"> Correlation between risk score and PDCD1 in </w:t>
      </w:r>
      <w:r w:rsidRPr="00DD52CC">
        <w:rPr>
          <w:rFonts w:ascii="Times New Roman" w:hAnsi="Times New Roman" w:cs="Times New Roman"/>
        </w:rPr>
        <w:t>GSE167573 cohort</w:t>
      </w:r>
      <w:r w:rsidRPr="00DD52CC">
        <w:rPr>
          <w:rFonts w:ascii="Times New Roman" w:hAnsi="Times New Roman" w:cs="Times New Roman"/>
          <w:color w:val="000000"/>
        </w:rPr>
        <w:t>. (</w:t>
      </w:r>
      <w:r w:rsidRPr="00DD52CC">
        <w:rPr>
          <w:rFonts w:ascii="Times New Roman" w:hAnsi="Times New Roman" w:cs="Times New Roman"/>
          <w:b/>
          <w:bCs/>
          <w:color w:val="000000"/>
        </w:rPr>
        <w:t>E-</w:t>
      </w:r>
      <w:r w:rsidRPr="00DD52CC">
        <w:rPr>
          <w:rFonts w:ascii="Times New Roman" w:hAnsi="Times New Roman" w:cs="Times New Roman" w:hint="eastAsia"/>
          <w:b/>
          <w:bCs/>
          <w:color w:val="000000"/>
        </w:rPr>
        <w:t>H</w:t>
      </w:r>
      <w:r w:rsidRPr="00DD52CC">
        <w:rPr>
          <w:rFonts w:ascii="Times New Roman" w:hAnsi="Times New Roman" w:cs="Times New Roman"/>
          <w:color w:val="000000"/>
        </w:rPr>
        <w:t>) Correlation between risk score and CD</w:t>
      </w:r>
      <w:r w:rsidRPr="00DD52CC">
        <w:rPr>
          <w:rFonts w:ascii="Times New Roman" w:hAnsi="Times New Roman" w:cs="Times New Roman" w:hint="eastAsia"/>
          <w:color w:val="000000"/>
        </w:rPr>
        <w:t>274, CTLA4,</w:t>
      </w:r>
      <w:r w:rsidRPr="00DD52CC">
        <w:rPr>
          <w:rFonts w:ascii="Times New Roman" w:hAnsi="Times New Roman" w:cs="Times New Roman"/>
          <w:color w:val="000000"/>
        </w:rPr>
        <w:t xml:space="preserve"> LAG3</w:t>
      </w:r>
      <w:r w:rsidRPr="00DD52CC">
        <w:rPr>
          <w:rFonts w:ascii="Times New Roman" w:hAnsi="Times New Roman" w:cs="Times New Roman" w:hint="eastAsia"/>
          <w:color w:val="000000"/>
        </w:rPr>
        <w:t xml:space="preserve">, </w:t>
      </w:r>
      <w:r w:rsidRPr="00DD52CC">
        <w:rPr>
          <w:rFonts w:ascii="Times New Roman" w:hAnsi="Times New Roman" w:cs="Times New Roman"/>
          <w:color w:val="000000"/>
        </w:rPr>
        <w:t xml:space="preserve">and TIGIT. </w:t>
      </w:r>
    </w:p>
    <w:p w14:paraId="68FC282C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2C9E206A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494E42B9" w14:textId="77777777" w:rsidR="00967A32" w:rsidRPr="00DD52CC" w:rsidRDefault="00000000">
      <w:pPr>
        <w:spacing w:line="480" w:lineRule="auto"/>
        <w:rPr>
          <w:rFonts w:ascii="Times New Roman" w:hAnsi="Times New Roman" w:cs="Times New Roman"/>
          <w:color w:val="000000"/>
        </w:rPr>
      </w:pPr>
      <w:r w:rsidRPr="00DD52CC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6C924E04" wp14:editId="43C7D92D">
            <wp:extent cx="5269230" cy="3147695"/>
            <wp:effectExtent l="0" t="0" r="0" b="0"/>
            <wp:docPr id="5706640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64043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2803B" w14:textId="77777777" w:rsidR="00967A32" w:rsidRPr="00DD52CC" w:rsidRDefault="00000000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DD52CC">
        <w:rPr>
          <w:rFonts w:ascii="Times New Roman" w:hAnsi="Times New Roman" w:cs="Times New Roman"/>
          <w:b/>
          <w:bCs/>
          <w:color w:val="000000"/>
        </w:rPr>
        <w:t>Supplementary Figure S4</w:t>
      </w:r>
      <w:r w:rsidRPr="00DD52CC">
        <w:rPr>
          <w:rFonts w:ascii="Times New Roman" w:hAnsi="Times New Roman" w:cs="Times New Roman" w:hint="eastAsia"/>
          <w:b/>
          <w:bCs/>
          <w:color w:val="000000"/>
        </w:rPr>
        <w:t xml:space="preserve">. </w:t>
      </w:r>
      <w:r w:rsidRPr="00DD52CC">
        <w:rPr>
          <w:rFonts w:ascii="Times New Roman" w:hAnsi="Times New Roman" w:cs="Times New Roman"/>
          <w:color w:val="000000"/>
        </w:rPr>
        <w:t>GSEA. (</w:t>
      </w:r>
      <w:r w:rsidRPr="00DD52CC">
        <w:rPr>
          <w:rFonts w:ascii="Times New Roman" w:hAnsi="Times New Roman" w:cs="Times New Roman"/>
          <w:b/>
          <w:bCs/>
          <w:color w:val="000000"/>
        </w:rPr>
        <w:t>A</w:t>
      </w:r>
      <w:r w:rsidRPr="00DD52CC">
        <w:rPr>
          <w:rFonts w:ascii="Times New Roman" w:hAnsi="Times New Roman" w:cs="Times New Roman"/>
          <w:color w:val="000000"/>
        </w:rPr>
        <w:t>) KEGG. (</w:t>
      </w:r>
      <w:r w:rsidRPr="00DD52CC">
        <w:rPr>
          <w:rFonts w:ascii="Times New Roman" w:hAnsi="Times New Roman" w:cs="Times New Roman"/>
          <w:b/>
          <w:bCs/>
          <w:color w:val="000000"/>
        </w:rPr>
        <w:t>B</w:t>
      </w:r>
      <w:r w:rsidRPr="00DD52CC">
        <w:rPr>
          <w:rFonts w:ascii="Times New Roman" w:hAnsi="Times New Roman" w:cs="Times New Roman"/>
          <w:color w:val="000000"/>
        </w:rPr>
        <w:t>)Hallmark.</w:t>
      </w:r>
    </w:p>
    <w:p w14:paraId="0FDE4D26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5E426BFE" w14:textId="77777777" w:rsidR="00967A32" w:rsidRPr="00DD52CC" w:rsidRDefault="00967A32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3535CA2A" w14:textId="77777777" w:rsidR="00967A32" w:rsidRPr="00DD52CC" w:rsidRDefault="00967A32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6B996D65" w14:textId="77777777" w:rsidR="00967A32" w:rsidRPr="00DD52CC" w:rsidRDefault="00967A32">
      <w:pPr>
        <w:spacing w:line="480" w:lineRule="auto"/>
        <w:rPr>
          <w:rFonts w:ascii="Times New Roman" w:hAnsi="Times New Roman" w:cs="Times New Roman"/>
          <w:color w:val="000000"/>
        </w:rPr>
      </w:pPr>
    </w:p>
    <w:p w14:paraId="7806A81C" w14:textId="77777777" w:rsidR="00967A32" w:rsidRPr="00DD52CC" w:rsidRDefault="00000000">
      <w:pPr>
        <w:spacing w:line="480" w:lineRule="auto"/>
        <w:rPr>
          <w:rFonts w:ascii="Times New Roman" w:hAnsi="Times New Roman" w:cs="Times New Roman"/>
          <w:color w:val="000000"/>
        </w:rPr>
      </w:pPr>
      <w:r w:rsidRPr="00DD52CC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64E37893" wp14:editId="05958875">
            <wp:extent cx="5269230" cy="3973830"/>
            <wp:effectExtent l="0" t="0" r="0" b="0"/>
            <wp:docPr id="10782410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241037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C3415" w14:textId="77777777" w:rsidR="00967A32" w:rsidRPr="00DD52CC" w:rsidRDefault="00000000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DD52CC">
        <w:rPr>
          <w:rFonts w:ascii="Times New Roman" w:hAnsi="Times New Roman" w:cs="Times New Roman"/>
          <w:b/>
          <w:bCs/>
          <w:color w:val="000000"/>
        </w:rPr>
        <w:t>Supplementary Figure S5</w:t>
      </w:r>
      <w:r w:rsidRPr="00DD52CC">
        <w:rPr>
          <w:rFonts w:ascii="Times New Roman" w:hAnsi="Times New Roman" w:cs="Times New Roman" w:hint="eastAsia"/>
          <w:b/>
          <w:bCs/>
          <w:color w:val="000000"/>
        </w:rPr>
        <w:t xml:space="preserve">. </w:t>
      </w:r>
      <w:r w:rsidRPr="00DD52CC">
        <w:rPr>
          <w:rFonts w:ascii="Times New Roman" w:hAnsi="Times New Roman" w:cs="Times New Roman"/>
          <w:color w:val="000000"/>
        </w:rPr>
        <w:t>Association between risk score and G2M pathway-related genes. (</w:t>
      </w:r>
      <w:r w:rsidRPr="00DD52CC">
        <w:rPr>
          <w:rFonts w:ascii="Times New Roman" w:hAnsi="Times New Roman" w:cs="Times New Roman"/>
          <w:b/>
          <w:bCs/>
          <w:color w:val="000000"/>
        </w:rPr>
        <w:t>A, C, E</w:t>
      </w:r>
      <w:r w:rsidRPr="00DD52CC">
        <w:rPr>
          <w:rFonts w:ascii="Times New Roman" w:hAnsi="Times New Roman" w:cs="Times New Roman"/>
          <w:color w:val="000000"/>
        </w:rPr>
        <w:t>) The expression of CDC25A (</w:t>
      </w:r>
      <w:r w:rsidRPr="00DD52CC">
        <w:rPr>
          <w:rFonts w:ascii="Times New Roman" w:hAnsi="Times New Roman" w:cs="Times New Roman"/>
          <w:b/>
          <w:bCs/>
          <w:color w:val="000000"/>
        </w:rPr>
        <w:t>A</w:t>
      </w:r>
      <w:r w:rsidRPr="00DD52CC">
        <w:rPr>
          <w:rFonts w:ascii="Times New Roman" w:hAnsi="Times New Roman" w:cs="Times New Roman"/>
          <w:color w:val="000000"/>
        </w:rPr>
        <w:t>), CDK1 (</w:t>
      </w:r>
      <w:r w:rsidRPr="00DD52CC">
        <w:rPr>
          <w:rFonts w:ascii="Times New Roman" w:hAnsi="Times New Roman" w:cs="Times New Roman"/>
          <w:b/>
          <w:bCs/>
          <w:color w:val="000000"/>
        </w:rPr>
        <w:t>C</w:t>
      </w:r>
      <w:r w:rsidRPr="00DD52CC">
        <w:rPr>
          <w:rFonts w:ascii="Times New Roman" w:hAnsi="Times New Roman" w:cs="Times New Roman"/>
          <w:color w:val="000000"/>
        </w:rPr>
        <w:t>), and CDK2 (</w:t>
      </w:r>
      <w:r w:rsidRPr="00DD52CC">
        <w:rPr>
          <w:rFonts w:ascii="Times New Roman" w:hAnsi="Times New Roman" w:cs="Times New Roman"/>
          <w:b/>
          <w:bCs/>
          <w:color w:val="000000"/>
        </w:rPr>
        <w:t>E</w:t>
      </w:r>
      <w:r w:rsidRPr="00DD52CC">
        <w:rPr>
          <w:rFonts w:ascii="Times New Roman" w:hAnsi="Times New Roman" w:cs="Times New Roman"/>
          <w:color w:val="000000"/>
        </w:rPr>
        <w:t>) in high- and low- risk groups. (</w:t>
      </w:r>
      <w:r w:rsidRPr="00DD52CC">
        <w:rPr>
          <w:rFonts w:ascii="Times New Roman" w:hAnsi="Times New Roman" w:cs="Times New Roman"/>
          <w:b/>
          <w:bCs/>
          <w:color w:val="000000"/>
        </w:rPr>
        <w:t>B, D, F</w:t>
      </w:r>
      <w:r w:rsidRPr="00DD52CC">
        <w:rPr>
          <w:rFonts w:ascii="Times New Roman" w:hAnsi="Times New Roman" w:cs="Times New Roman"/>
          <w:color w:val="000000"/>
        </w:rPr>
        <w:t>) The relationship between CDC25A (</w:t>
      </w:r>
      <w:r w:rsidRPr="00DD52CC">
        <w:rPr>
          <w:rFonts w:ascii="Times New Roman" w:hAnsi="Times New Roman" w:cs="Times New Roman"/>
          <w:b/>
          <w:bCs/>
          <w:color w:val="000000"/>
        </w:rPr>
        <w:t>B</w:t>
      </w:r>
      <w:r w:rsidRPr="00DD52CC">
        <w:rPr>
          <w:rFonts w:ascii="Times New Roman" w:hAnsi="Times New Roman" w:cs="Times New Roman"/>
          <w:color w:val="000000"/>
        </w:rPr>
        <w:t>), CDK1 (</w:t>
      </w:r>
      <w:r w:rsidRPr="00DD52CC">
        <w:rPr>
          <w:rFonts w:ascii="Times New Roman" w:hAnsi="Times New Roman" w:cs="Times New Roman"/>
          <w:b/>
          <w:bCs/>
          <w:color w:val="000000"/>
        </w:rPr>
        <w:t>D</w:t>
      </w:r>
      <w:r w:rsidRPr="00DD52CC">
        <w:rPr>
          <w:rFonts w:ascii="Times New Roman" w:hAnsi="Times New Roman" w:cs="Times New Roman"/>
          <w:color w:val="000000"/>
        </w:rPr>
        <w:t>), and CDK2 (</w:t>
      </w:r>
      <w:r w:rsidRPr="00DD52CC">
        <w:rPr>
          <w:rFonts w:ascii="Times New Roman" w:hAnsi="Times New Roman" w:cs="Times New Roman"/>
          <w:b/>
          <w:bCs/>
          <w:color w:val="000000"/>
        </w:rPr>
        <w:t>F</w:t>
      </w:r>
      <w:r w:rsidRPr="00DD52CC">
        <w:rPr>
          <w:rFonts w:ascii="Times New Roman" w:hAnsi="Times New Roman" w:cs="Times New Roman"/>
          <w:color w:val="000000"/>
        </w:rPr>
        <w:t>) and risk score.</w:t>
      </w:r>
    </w:p>
    <w:p w14:paraId="7C16D17B" w14:textId="77777777" w:rsidR="00967A32" w:rsidRPr="00DD52CC" w:rsidRDefault="00967A32">
      <w:pPr>
        <w:spacing w:line="480" w:lineRule="auto"/>
        <w:rPr>
          <w:rFonts w:ascii="Times New Roman" w:hAnsi="Times New Roman" w:cs="Times New Roman"/>
        </w:rPr>
      </w:pPr>
    </w:p>
    <w:p w14:paraId="126F634F" w14:textId="77777777" w:rsidR="00967A32" w:rsidRPr="00DD52CC" w:rsidRDefault="00000000">
      <w:pPr>
        <w:spacing w:line="480" w:lineRule="auto"/>
        <w:rPr>
          <w:rFonts w:ascii="Times New Roman" w:hAnsi="Times New Roman" w:cs="Times New Roman"/>
        </w:rPr>
      </w:pPr>
      <w:r w:rsidRPr="00DD52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4A096F1" wp14:editId="2FCB7C5C">
            <wp:extent cx="5274310" cy="6315710"/>
            <wp:effectExtent l="0" t="0" r="0" b="0"/>
            <wp:docPr id="3586651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65118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787B" w14:textId="77777777" w:rsidR="00967A32" w:rsidRDefault="00000000">
      <w:pPr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DD52CC">
        <w:rPr>
          <w:rFonts w:ascii="Times New Roman" w:hAnsi="Times New Roman" w:cs="Times New Roman"/>
          <w:b/>
          <w:bCs/>
          <w:color w:val="000000"/>
        </w:rPr>
        <w:t>Supplementary Figure S6</w:t>
      </w:r>
      <w:r w:rsidRPr="00DD52CC">
        <w:rPr>
          <w:rFonts w:ascii="Times New Roman" w:hAnsi="Times New Roman" w:cs="Times New Roman" w:hint="eastAsia"/>
          <w:b/>
          <w:bCs/>
          <w:color w:val="000000"/>
        </w:rPr>
        <w:t xml:space="preserve">. </w:t>
      </w:r>
      <w:r w:rsidRPr="00DD52CC">
        <w:rPr>
          <w:rFonts w:ascii="Times New Roman" w:hAnsi="Times New Roman" w:cs="Times New Roman"/>
          <w:color w:val="000000"/>
        </w:rPr>
        <w:t>Expression box diagram of gene expression in pan-cancer.</w:t>
      </w:r>
      <w:r w:rsidRPr="00DD52C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D52CC">
        <w:rPr>
          <w:rFonts w:ascii="Times New Roman" w:hAnsi="Times New Roman" w:cs="Times New Roman"/>
          <w:color w:val="000000"/>
        </w:rPr>
        <w:t>(</w:t>
      </w:r>
      <w:r w:rsidRPr="00DD52CC">
        <w:rPr>
          <w:rFonts w:ascii="Times New Roman" w:hAnsi="Times New Roman" w:cs="Times New Roman"/>
          <w:b/>
          <w:bCs/>
          <w:color w:val="000000"/>
        </w:rPr>
        <w:t>A-I</w:t>
      </w:r>
      <w:r w:rsidRPr="00DD52CC">
        <w:rPr>
          <w:rFonts w:ascii="Times New Roman" w:hAnsi="Times New Roman" w:cs="Times New Roman"/>
          <w:color w:val="000000"/>
        </w:rPr>
        <w:t>)</w:t>
      </w:r>
      <w:r w:rsidRPr="00DD52CC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D52CC">
        <w:rPr>
          <w:rFonts w:ascii="Times New Roman" w:hAnsi="Times New Roman" w:cs="Times New Roman"/>
          <w:color w:val="000000"/>
        </w:rPr>
        <w:t>The gene expression of ABCB4, CEL, CRABP2, EPHX2, HAO2, HSD3B7, HSD11B2, SULT2B1 and TOP2A</w:t>
      </w:r>
      <w:r w:rsidRPr="00DD52CC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DD52CC">
        <w:rPr>
          <w:rFonts w:ascii="Times New Roman" w:hAnsi="Times New Roman" w:cs="Times New Roman"/>
          <w:color w:val="000000"/>
        </w:rPr>
        <w:t>between tumor and adjacent normal tissue in pan-cancer.</w:t>
      </w:r>
      <w:r w:rsidRPr="00DD52CC">
        <w:rPr>
          <w:rFonts w:ascii="Times New Roman" w:eastAsia="Gulliver" w:hAnsi="Times New Roman" w:cs="Times New Roman"/>
          <w:color w:val="000000" w:themeColor="text1"/>
          <w:lang w:bidi="ar"/>
        </w:rPr>
        <w:t xml:space="preserve"> *</w:t>
      </w:r>
      <w:r w:rsidRPr="00DD52CC">
        <w:rPr>
          <w:rFonts w:ascii="Times New Roman" w:eastAsiaTheme="minorEastAsia" w:hAnsi="Times New Roman" w:cs="Times New Roman" w:hint="eastAsia"/>
          <w:color w:val="000000" w:themeColor="text1"/>
          <w:lang w:bidi="ar"/>
        </w:rPr>
        <w:t>P</w:t>
      </w:r>
      <w:r w:rsidRPr="00DD52CC">
        <w:rPr>
          <w:rFonts w:ascii="Times New Roman" w:eastAsia="Gulliver" w:hAnsi="Times New Roman" w:cs="Times New Roman"/>
          <w:color w:val="000000" w:themeColor="text1"/>
          <w:lang w:bidi="ar"/>
        </w:rPr>
        <w:t xml:space="preserve"> &lt; 0.05, **</w:t>
      </w:r>
      <w:r w:rsidRPr="00DD52CC">
        <w:rPr>
          <w:rFonts w:ascii="Times New Roman" w:eastAsiaTheme="minorEastAsia" w:hAnsi="Times New Roman" w:cs="Times New Roman" w:hint="eastAsia"/>
          <w:color w:val="000000" w:themeColor="text1"/>
          <w:lang w:bidi="ar"/>
        </w:rPr>
        <w:t>P</w:t>
      </w:r>
      <w:r w:rsidRPr="00DD52CC">
        <w:rPr>
          <w:rFonts w:ascii="Times New Roman" w:eastAsia="Gulliver" w:hAnsi="Times New Roman" w:cs="Times New Roman"/>
          <w:color w:val="000000" w:themeColor="text1"/>
          <w:lang w:bidi="ar"/>
        </w:rPr>
        <w:t xml:space="preserve"> &lt; 0.01, ***</w:t>
      </w:r>
      <w:r w:rsidRPr="00DD52CC">
        <w:rPr>
          <w:rFonts w:ascii="Times New Roman" w:eastAsiaTheme="minorEastAsia" w:hAnsi="Times New Roman" w:cs="Times New Roman" w:hint="eastAsia"/>
          <w:color w:val="000000" w:themeColor="text1"/>
          <w:lang w:bidi="ar"/>
        </w:rPr>
        <w:t>P</w:t>
      </w:r>
      <w:r w:rsidRPr="00DD52CC">
        <w:rPr>
          <w:rFonts w:ascii="Times New Roman" w:eastAsia="Gulliver" w:hAnsi="Times New Roman" w:cs="Times New Roman"/>
          <w:color w:val="000000" w:themeColor="text1"/>
          <w:lang w:bidi="ar"/>
        </w:rPr>
        <w:t xml:space="preserve"> &lt; 0.001</w:t>
      </w:r>
      <w:r w:rsidRPr="00DD52CC">
        <w:rPr>
          <w:rFonts w:ascii="Times New Roman" w:eastAsiaTheme="minorEastAsia" w:hAnsi="Times New Roman" w:cs="Times New Roman" w:hint="eastAsia"/>
          <w:color w:val="000000" w:themeColor="text1"/>
          <w:lang w:bidi="ar"/>
        </w:rPr>
        <w:t>.</w:t>
      </w:r>
    </w:p>
    <w:sectPr w:rsidR="00967A32" w:rsidSect="007A4085">
      <w:footerReference w:type="even" r:id="rId13"/>
      <w:footerReference w:type="default" r:id="rId14"/>
      <w:footerReference w:type="first" r:id="rId15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D301C" w14:textId="77777777" w:rsidR="001E3E3E" w:rsidRDefault="001E3E3E">
      <w:r>
        <w:separator/>
      </w:r>
    </w:p>
  </w:endnote>
  <w:endnote w:type="continuationSeparator" w:id="0">
    <w:p w14:paraId="3294116D" w14:textId="77777777" w:rsidR="001E3E3E" w:rsidRDefault="001E3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ulliver">
    <w:altName w:val="Segoe Print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E5D29" w14:textId="5A5DD4F3" w:rsidR="00DD52CC" w:rsidRDefault="00DD52CC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BF4E8F" wp14:editId="679C3FA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586107739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9E05A1" w14:textId="6B4A9AEC" w:rsidR="00DD52CC" w:rsidRPr="00DD52CC" w:rsidRDefault="00DD52CC" w:rsidP="00DD52C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D52C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BF4E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0A9E05A1" w14:textId="6B4A9AEC" w:rsidR="00DD52CC" w:rsidRPr="00DD52CC" w:rsidRDefault="00DD52CC" w:rsidP="00DD52C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D52C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3E1B5" w14:textId="656E82B9" w:rsidR="00967A32" w:rsidRDefault="00DD52CC">
    <w:pPr>
      <w:pStyle w:val="Footer"/>
      <w:jc w:val="cen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B99EB9E" wp14:editId="3950A344">
              <wp:simplePos x="1143000" y="97631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50689034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E36F91" w14:textId="223BC80C" w:rsidR="00DD52CC" w:rsidRPr="00DD52CC" w:rsidRDefault="00DD52CC" w:rsidP="00DD52C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D52C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99EB9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1AE36F91" w14:textId="223BC80C" w:rsidR="00DD52CC" w:rsidRPr="00DD52CC" w:rsidRDefault="00DD52CC" w:rsidP="00DD52C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D52C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284954945"/>
        <w:docPartObj>
          <w:docPartGallery w:val="AutoText"/>
        </w:docPartObj>
      </w:sdtPr>
      <w:sdtContent>
        <w:r w:rsidR="00000000">
          <w:fldChar w:fldCharType="begin"/>
        </w:r>
        <w:r w:rsidR="00000000">
          <w:instrText>PAGE   \* MERGEFORMAT</w:instrText>
        </w:r>
        <w:r w:rsidR="00000000">
          <w:fldChar w:fldCharType="separate"/>
        </w:r>
        <w:r w:rsidR="00000000">
          <w:rPr>
            <w:lang w:val="zh-CN"/>
          </w:rPr>
          <w:t>2</w:t>
        </w:r>
        <w:r w:rsidR="00000000">
          <w:fldChar w:fldCharType="end"/>
        </w:r>
      </w:sdtContent>
    </w:sdt>
  </w:p>
  <w:p w14:paraId="2266A164" w14:textId="77777777" w:rsidR="00967A32" w:rsidRDefault="00967A3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2AADF" w14:textId="78A6C9C9" w:rsidR="00DD52CC" w:rsidRDefault="00DD52CC">
    <w:pPr>
      <w:pStyle w:val="Footer"/>
    </w:pPr>
    <w:r>
      <w:rPr>
        <w:noProof/>
        <w14:ligatures w14:val="none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19818E9" wp14:editId="3FFAC14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81443056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6A2A19" w14:textId="66DDC783" w:rsidR="00DD52CC" w:rsidRPr="00DD52CC" w:rsidRDefault="00DD52CC" w:rsidP="00DD52CC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D52CC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818E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3F6A2A19" w14:textId="66DDC783" w:rsidR="00DD52CC" w:rsidRPr="00DD52CC" w:rsidRDefault="00DD52CC" w:rsidP="00DD52CC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D52CC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D41039" w14:textId="77777777" w:rsidR="001E3E3E" w:rsidRDefault="001E3E3E">
      <w:r>
        <w:separator/>
      </w:r>
    </w:p>
  </w:footnote>
  <w:footnote w:type="continuationSeparator" w:id="0">
    <w:p w14:paraId="71D763AF" w14:textId="77777777" w:rsidR="001E3E3E" w:rsidRDefault="001E3E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E08"/>
    <w:rsid w:val="000A2CFB"/>
    <w:rsid w:val="000B0ECC"/>
    <w:rsid w:val="0013537C"/>
    <w:rsid w:val="001545A3"/>
    <w:rsid w:val="001851DB"/>
    <w:rsid w:val="001D5231"/>
    <w:rsid w:val="001E3E3E"/>
    <w:rsid w:val="00282519"/>
    <w:rsid w:val="002A0214"/>
    <w:rsid w:val="002B0425"/>
    <w:rsid w:val="002C6B9B"/>
    <w:rsid w:val="002D0A7A"/>
    <w:rsid w:val="002E2615"/>
    <w:rsid w:val="003147D5"/>
    <w:rsid w:val="00333E6C"/>
    <w:rsid w:val="00340FE0"/>
    <w:rsid w:val="00354618"/>
    <w:rsid w:val="003D4C32"/>
    <w:rsid w:val="003D6228"/>
    <w:rsid w:val="004F1406"/>
    <w:rsid w:val="0052029F"/>
    <w:rsid w:val="005479BF"/>
    <w:rsid w:val="00567CF2"/>
    <w:rsid w:val="005746FB"/>
    <w:rsid w:val="005D2635"/>
    <w:rsid w:val="00735572"/>
    <w:rsid w:val="00740780"/>
    <w:rsid w:val="0077624B"/>
    <w:rsid w:val="00787573"/>
    <w:rsid w:val="0079445F"/>
    <w:rsid w:val="007A4085"/>
    <w:rsid w:val="008223E5"/>
    <w:rsid w:val="008F4775"/>
    <w:rsid w:val="00901EFD"/>
    <w:rsid w:val="00902963"/>
    <w:rsid w:val="00967A32"/>
    <w:rsid w:val="009B655D"/>
    <w:rsid w:val="009C4BFF"/>
    <w:rsid w:val="00A26055"/>
    <w:rsid w:val="00AD698F"/>
    <w:rsid w:val="00AD79B7"/>
    <w:rsid w:val="00BA598E"/>
    <w:rsid w:val="00BC4605"/>
    <w:rsid w:val="00BD3BBB"/>
    <w:rsid w:val="00C13864"/>
    <w:rsid w:val="00C30C97"/>
    <w:rsid w:val="00C82B44"/>
    <w:rsid w:val="00C82E08"/>
    <w:rsid w:val="00D105AA"/>
    <w:rsid w:val="00D845B8"/>
    <w:rsid w:val="00DB482C"/>
    <w:rsid w:val="00DB549A"/>
    <w:rsid w:val="00DB749D"/>
    <w:rsid w:val="00DD17B7"/>
    <w:rsid w:val="00DD52CC"/>
    <w:rsid w:val="00E4678F"/>
    <w:rsid w:val="00E563FC"/>
    <w:rsid w:val="00E57755"/>
    <w:rsid w:val="00EC5C31"/>
    <w:rsid w:val="00ED75C0"/>
    <w:rsid w:val="00F233FB"/>
    <w:rsid w:val="00FB1EF3"/>
    <w:rsid w:val="0C6F5DE9"/>
    <w:rsid w:val="374116D5"/>
    <w:rsid w:val="3F512FA9"/>
    <w:rsid w:val="47AC3472"/>
    <w:rsid w:val="6C440EAF"/>
    <w:rsid w:val="74EB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87372"/>
  <w15:docId w15:val="{5E864DFF-E7BD-4607-872C-3BAFE1FC2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imSun" w:eastAsia="SimSun" w:hAnsi="SimSun" w:cs="SimSun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Pr>
      <w:rFonts w:ascii="SimSun" w:eastAsia="SimSun" w:hAnsi="SimSun" w:cs="SimSun"/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ascii="SimSun" w:eastAsia="SimSun" w:hAnsi="SimSun" w:cs="SimSu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5571B7-B595-48FA-B405-63AB2B29F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LI</dc:creator>
  <cp:lastModifiedBy>Khanapur, Soumya</cp:lastModifiedBy>
  <cp:revision>5</cp:revision>
  <dcterms:created xsi:type="dcterms:W3CDTF">2025-04-28T08:21:00Z</dcterms:created>
  <dcterms:modified xsi:type="dcterms:W3CDTF">2025-05-12T03:31:00Z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eyJoZGlkIjoiNTZlMDgwMjRjZGYyNTk2ZGVmMTI2Zjg2YTE3M2M4MmUiLCJ1c2VySWQiOiIxMDIxNjc1OTMyIn0=</vt:lpwstr>
  </property>
  <property fmtid="{D5CDD505-2E9C-101B-9397-08002B2CF9AE}" pid="3" name="KSOProductBuildVer">
    <vt:lpwstr>2052-12.1.0.20305</vt:lpwstr>
  </property>
  <property fmtid="{D5CDD505-2E9C-101B-9397-08002B2CF9AE}" pid="4" name="ICV">
    <vt:lpwstr>3BB4C798301646B494FDA28CB6A98985_12</vt:lpwstr>
  </property>
  <property fmtid="{D5CDD505-2E9C-101B-9397-08002B2CF9AE}" pid="5" name="ClassificationContentMarkingFooterShapeIds">
    <vt:lpwstr>308b3969,22ef4b5b,59d1526c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2025-05-12T03:31:13Z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27d9793e-1d2d-4cf4-bc84-c9a88b08ef3a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