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7257" w14:textId="77777777" w:rsidR="00CC6632" w:rsidRDefault="00CC6632">
      <w:pPr>
        <w:rPr>
          <w:rFonts w:eastAsia="PingFang SC" w:cs="Arial"/>
          <w:color w:val="000000" w:themeColor="text1"/>
          <w:szCs w:val="20"/>
          <w:shd w:val="clear" w:color="auto" w:fill="FFFFFF"/>
        </w:rPr>
      </w:pPr>
    </w:p>
    <w:p w14:paraId="555E5874" w14:textId="77777777" w:rsidR="00CC6632" w:rsidRDefault="00000000">
      <w:pPr>
        <w:pStyle w:val="Caption"/>
        <w:kinsoku w:val="0"/>
        <w:rPr>
          <w:rFonts w:cs="Arial"/>
          <w:color w:val="000000" w:themeColor="text1"/>
          <w:szCs w:val="20"/>
        </w:rPr>
      </w:pPr>
      <w:r>
        <w:rPr>
          <w:rFonts w:eastAsia="SimSun" w:cs="Arial" w:hint="eastAsia"/>
          <w:color w:val="000000" w:themeColor="text1"/>
          <w:szCs w:val="20"/>
          <w:shd w:val="clear" w:color="auto" w:fill="FFFFFF"/>
          <w:lang w:eastAsia="zh-CN"/>
        </w:rPr>
        <w:t xml:space="preserve">Supplementary </w:t>
      </w:r>
      <w:r>
        <w:rPr>
          <w:rFonts w:cs="Arial"/>
          <w:color w:val="000000" w:themeColor="text1"/>
          <w:szCs w:val="20"/>
        </w:rPr>
        <w:t>Table 1 Basic characteristics, M-mode parameters of the LV (parasternal short-axis view), and strain parameters of the study groups before T2DM modeling</w:t>
      </w:r>
    </w:p>
    <w:tbl>
      <w:tblPr>
        <w:tblStyle w:val="TableGrid"/>
        <w:tblW w:w="8617" w:type="dxa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4"/>
        <w:gridCol w:w="1724"/>
      </w:tblGrid>
      <w:tr w:rsidR="00CC6632" w14:paraId="61FE2AB3" w14:textId="77777777">
        <w:trPr>
          <w:trHeight w:val="383"/>
        </w:trPr>
        <w:tc>
          <w:tcPr>
            <w:tcW w:w="17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1F74448B" w14:textId="77777777" w:rsidR="00CC6632" w:rsidRDefault="00CC6632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76394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 (n = 10)</w:t>
            </w:r>
          </w:p>
        </w:tc>
        <w:tc>
          <w:tcPr>
            <w:tcW w:w="17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8015C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DM (n = 10)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D09451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DMIL (n = 6)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D6A82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</w:t>
            </w:r>
          </w:p>
        </w:tc>
      </w:tr>
      <w:tr w:rsidR="00CC6632" w14:paraId="3CFB0AF3" w14:textId="77777777">
        <w:trPr>
          <w:trHeight w:val="383"/>
        </w:trPr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8EDE4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FBG (mmol/l)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B2E00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9.65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1.02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09EA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9.23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1.35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4232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9.23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0.73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61E0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0.428</w:t>
            </w:r>
          </w:p>
        </w:tc>
      </w:tr>
      <w:tr w:rsidR="00CC6632" w14:paraId="103FC8AE" w14:textId="77777777">
        <w:trPr>
          <w:trHeight w:val="383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FD14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BW (g)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CC28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18.87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0.56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F62D3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18.76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0.27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F11E4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18.78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0.51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E3E7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0.845</w:t>
            </w:r>
          </w:p>
        </w:tc>
      </w:tr>
      <w:tr w:rsidR="00CC6632" w14:paraId="759289EE" w14:textId="77777777">
        <w:trPr>
          <w:trHeight w:val="383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28683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Heart rate (bpm)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F3E7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280.00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38.57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CEE4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277.80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27.37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E858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300.33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21.70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503E1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0.351</w:t>
            </w:r>
          </w:p>
        </w:tc>
      </w:tr>
      <w:tr w:rsidR="00CC6632" w14:paraId="377B96E5" w14:textId="77777777">
        <w:trPr>
          <w:trHeight w:val="383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25C5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LVEF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CFFD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68.28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0E36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67.05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2.83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1CF80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67.46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2.85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2217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0.693</w:t>
            </w:r>
          </w:p>
        </w:tc>
      </w:tr>
      <w:tr w:rsidR="00CC6632" w14:paraId="47FEDA12" w14:textId="77777777">
        <w:trPr>
          <w:trHeight w:val="383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8AAE8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1465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32.70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2.70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4836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31.94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29DD4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32.16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1.97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D8E7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0.751</w:t>
            </w:r>
          </w:p>
        </w:tc>
      </w:tr>
      <w:tr w:rsidR="00CC6632" w14:paraId="46798A97" w14:textId="77777777">
        <w:trPr>
          <w:trHeight w:val="383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0CDE4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</w:rPr>
              <w:t>LVIDd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(mm)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7662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3.05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0.33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64368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3.53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0.53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49577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3.27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0.37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6E84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0.058</w:t>
            </w:r>
          </w:p>
        </w:tc>
      </w:tr>
      <w:tr w:rsidR="00CC6632" w14:paraId="67957B80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68F6F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LVIDs (mm)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9613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2.04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0.24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3C7F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2.41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0.40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BE72F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2.22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0.29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0F1B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0.053</w:t>
            </w:r>
          </w:p>
        </w:tc>
      </w:tr>
      <w:tr w:rsidR="00CC6632" w14:paraId="2F0DE66F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FDA07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IVST (mm)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C3A67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93EA2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4B60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0.58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8EB7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0.215</w:t>
            </w:r>
          </w:p>
        </w:tc>
      </w:tr>
      <w:tr w:rsidR="00CC6632" w14:paraId="0119F660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DFEA0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PWT (mm)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E12D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0.66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5D6B0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9FF31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FF22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0.744</w:t>
            </w:r>
          </w:p>
        </w:tc>
      </w:tr>
      <w:tr w:rsidR="00CC6632" w14:paraId="077C0DBE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D6E6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 (cm/s)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25C97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0.16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6B7A4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0.71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0.03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FDD8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0.67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0.11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3554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0.294</w:t>
            </w:r>
          </w:p>
        </w:tc>
      </w:tr>
      <w:tr w:rsidR="00CC6632" w14:paraId="7E5B0F07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7F04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E/e'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A1E8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23.55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6.27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2CEA2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23.21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2.11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DD44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27.50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4.75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6515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0.189</w:t>
            </w:r>
          </w:p>
        </w:tc>
      </w:tr>
      <w:tr w:rsidR="00CC6632" w14:paraId="243213E9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C87F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Endocardial GLS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9C5E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14.32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3.45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A3CB0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16.33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2.53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6D28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15.12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4.06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74D6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0.402</w:t>
            </w:r>
          </w:p>
        </w:tc>
      </w:tr>
      <w:tr w:rsidR="00CC6632" w14:paraId="7B8E50DC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285C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eastAsia="SimHei" w:cs="Arial"/>
                <w:color w:val="000000" w:themeColor="text1"/>
                <w:szCs w:val="20"/>
              </w:rPr>
              <w:t>Mid-myocardial GLS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3A6C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12.78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2.60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1AE3B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14.04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2.23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5DF0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13.23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3.41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A0854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0.575</w:t>
            </w:r>
          </w:p>
        </w:tc>
      </w:tr>
      <w:tr w:rsidR="00CC6632" w14:paraId="48F1386D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0F9AA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eastAsia="SimHei" w:cs="Arial"/>
                <w:color w:val="000000" w:themeColor="text1"/>
                <w:szCs w:val="20"/>
              </w:rPr>
              <w:t>Epicardial GLS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6BE6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11.39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1.90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378D8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12.04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2.15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FC0DF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11.60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2.82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71303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0.804</w:t>
            </w:r>
          </w:p>
        </w:tc>
      </w:tr>
      <w:tr w:rsidR="00CC6632" w14:paraId="411863A0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E7B5F" w14:textId="77777777" w:rsidR="00CC6632" w:rsidRDefault="00000000">
            <w:pPr>
              <w:kinsoku w:val="0"/>
              <w:jc w:val="center"/>
              <w:rPr>
                <w:rFonts w:eastAsia="SimHei"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Endocardial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GCS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FDA2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13.81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3.36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1FB69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15.53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4.29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F025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18.02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4.55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77EC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0.150</w:t>
            </w:r>
          </w:p>
        </w:tc>
      </w:tr>
      <w:tr w:rsidR="00CC6632" w14:paraId="09C1FF62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2D334" w14:textId="77777777" w:rsidR="00CC6632" w:rsidRDefault="00000000">
            <w:pPr>
              <w:kinsoku w:val="0"/>
              <w:jc w:val="center"/>
              <w:rPr>
                <w:rFonts w:eastAsia="SimHei" w:cs="Arial"/>
                <w:color w:val="000000" w:themeColor="text1"/>
                <w:szCs w:val="20"/>
              </w:rPr>
            </w:pPr>
            <w:r>
              <w:rPr>
                <w:rFonts w:eastAsia="SimHei" w:cs="Arial"/>
                <w:color w:val="000000" w:themeColor="text1"/>
                <w:szCs w:val="20"/>
              </w:rPr>
              <w:t>Mid-myocardial GCS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D692D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9.91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8C3C8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12.63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4.20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BA0BB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14.30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3.26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1EDF1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0.070</w:t>
            </w:r>
          </w:p>
        </w:tc>
      </w:tr>
      <w:tr w:rsidR="00CC6632" w14:paraId="643E1F5A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F1B5B" w14:textId="77777777" w:rsidR="00CC6632" w:rsidRDefault="00000000">
            <w:pPr>
              <w:kinsoku w:val="0"/>
              <w:jc w:val="center"/>
              <w:rPr>
                <w:rFonts w:eastAsia="SimHei" w:cs="Arial"/>
                <w:color w:val="000000" w:themeColor="text1"/>
                <w:szCs w:val="20"/>
              </w:rPr>
            </w:pPr>
            <w:r>
              <w:rPr>
                <w:rFonts w:eastAsia="SimHei" w:cs="Arial"/>
                <w:color w:val="000000" w:themeColor="text1"/>
                <w:szCs w:val="20"/>
              </w:rPr>
              <w:t>Epicardial GCS (%)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95A3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8.19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3.43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68FAC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10.88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3.79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2B351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11.95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2.07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6119B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0.079</w:t>
            </w:r>
          </w:p>
        </w:tc>
      </w:tr>
      <w:tr w:rsidR="00CC6632" w14:paraId="5605BF4C" w14:textId="77777777">
        <w:trPr>
          <w:trHeight w:val="395"/>
        </w:trPr>
        <w:tc>
          <w:tcPr>
            <w:tcW w:w="17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E45BACE" w14:textId="77777777" w:rsidR="00CC6632" w:rsidRDefault="00000000">
            <w:pPr>
              <w:kinsoku w:val="0"/>
              <w:jc w:val="center"/>
              <w:rPr>
                <w:rFonts w:eastAsia="SimHei" w:cs="Arial"/>
                <w:color w:val="000000" w:themeColor="text1"/>
                <w:szCs w:val="20"/>
              </w:rPr>
            </w:pPr>
            <w:r>
              <w:rPr>
                <w:rFonts w:eastAsia="SimHei" w:cs="Arial"/>
                <w:color w:val="000000" w:themeColor="text1"/>
                <w:szCs w:val="20"/>
              </w:rPr>
              <w:t>GRS (%)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41C350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48.54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21.80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92AE5E6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50.18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25.85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DC25D4E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64.39</w:t>
            </w:r>
            <w:r>
              <w:rPr>
                <w:rFonts w:cs="Arial"/>
                <w:color w:val="000000" w:themeColor="text1"/>
                <w:szCs w:val="20"/>
              </w:rPr>
              <w:sym w:font="Symbol" w:char="F0B1"/>
            </w:r>
            <w:r>
              <w:rPr>
                <w:rFonts w:cs="Arial"/>
                <w:color w:val="000000" w:themeColor="text1"/>
                <w:szCs w:val="20"/>
              </w:rPr>
              <w:t>17.28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4824E61" w14:textId="77777777" w:rsidR="00CC6632" w:rsidRDefault="00000000">
            <w:pPr>
              <w:kinsoku w:val="0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0.373</w:t>
            </w:r>
          </w:p>
        </w:tc>
      </w:tr>
    </w:tbl>
    <w:p w14:paraId="35889B34" w14:textId="77777777" w:rsidR="00CC6632" w:rsidRDefault="00000000">
      <w:pPr>
        <w:kinsoku w:val="0"/>
        <w:rPr>
          <w:rFonts w:eastAsia="SimHei" w:cs="Arial"/>
          <w:color w:val="000000" w:themeColor="text1"/>
          <w:szCs w:val="20"/>
        </w:rPr>
      </w:pPr>
      <w:r>
        <w:rPr>
          <w:rFonts w:eastAsia="SimHei" w:cs="Arial"/>
          <w:color w:val="000000" w:themeColor="text1"/>
          <w:szCs w:val="20"/>
        </w:rPr>
        <w:t xml:space="preserve">FBG, fasting blood glucose; BW, body weight; EF, ejection fraction; LVEF, left ventricular ejection fraction; FS, fractional shortening; </w:t>
      </w:r>
      <w:proofErr w:type="spellStart"/>
      <w:r>
        <w:rPr>
          <w:rFonts w:eastAsia="SimHei" w:cs="Arial"/>
          <w:color w:val="000000" w:themeColor="text1"/>
          <w:szCs w:val="20"/>
        </w:rPr>
        <w:t>LVIDd</w:t>
      </w:r>
      <w:proofErr w:type="spellEnd"/>
      <w:r>
        <w:rPr>
          <w:rFonts w:eastAsia="SimHei" w:cs="Arial"/>
          <w:color w:val="000000" w:themeColor="text1"/>
          <w:szCs w:val="20"/>
        </w:rPr>
        <w:t xml:space="preserve"> and LVIDs, left ventricular internal dimension in diastole and systole; IVST and PWT, interventricular septum and posterior wall thicknesses at the end-diastole; E, early diastolic filling velocity; E/e</w:t>
      </w:r>
      <w:r>
        <w:rPr>
          <w:rFonts w:cs="Arial"/>
          <w:color w:val="000000" w:themeColor="text1"/>
          <w:szCs w:val="20"/>
        </w:rPr>
        <w:t>'</w:t>
      </w:r>
      <w:r>
        <w:rPr>
          <w:rFonts w:eastAsia="SimHei" w:cs="Arial"/>
          <w:color w:val="000000" w:themeColor="text1"/>
          <w:szCs w:val="20"/>
        </w:rPr>
        <w:t>, ratio of mitral valve early diastolic maximum velocity to peak mitral annular velocity during early filling; GLS, Global Longitudinal Strain; GCS, Global Circumferential Strain; GRS, Global Radial Strain.</w:t>
      </w:r>
    </w:p>
    <w:p w14:paraId="54B6F680" w14:textId="77777777" w:rsidR="00CC6632" w:rsidRDefault="00CC6632">
      <w:pPr>
        <w:kinsoku w:val="0"/>
        <w:rPr>
          <w:rFonts w:eastAsia="SimHei" w:cs="Arial"/>
          <w:color w:val="000000" w:themeColor="text1"/>
          <w:szCs w:val="20"/>
        </w:rPr>
      </w:pPr>
    </w:p>
    <w:p w14:paraId="0A1B79D3" w14:textId="77777777" w:rsidR="00CC6632" w:rsidRDefault="00CC6632">
      <w:pPr>
        <w:kinsoku w:val="0"/>
        <w:rPr>
          <w:rFonts w:eastAsia="SimHei" w:cs="Arial"/>
          <w:color w:val="000000" w:themeColor="text1"/>
          <w:szCs w:val="20"/>
        </w:rPr>
      </w:pPr>
    </w:p>
    <w:p w14:paraId="5B1D47A7" w14:textId="77777777" w:rsidR="00CC6632" w:rsidRDefault="00CC6632">
      <w:pPr>
        <w:kinsoku w:val="0"/>
        <w:rPr>
          <w:rFonts w:eastAsia="SimHei" w:cs="Arial"/>
          <w:color w:val="000000" w:themeColor="text1"/>
          <w:szCs w:val="20"/>
        </w:rPr>
      </w:pPr>
    </w:p>
    <w:p w14:paraId="0D52ADC2" w14:textId="77777777" w:rsidR="00CC6632" w:rsidRDefault="00CC6632">
      <w:pPr>
        <w:kinsoku w:val="0"/>
        <w:rPr>
          <w:rFonts w:eastAsia="SimHei" w:cs="Arial"/>
          <w:color w:val="000000" w:themeColor="text1"/>
          <w:szCs w:val="20"/>
        </w:rPr>
      </w:pPr>
    </w:p>
    <w:p w14:paraId="37E0A805" w14:textId="77777777" w:rsidR="00CC6632" w:rsidRDefault="00CC6632">
      <w:pPr>
        <w:rPr>
          <w:rFonts w:eastAsia="PingFang SC" w:cs="Arial"/>
          <w:color w:val="000000" w:themeColor="text1"/>
          <w:szCs w:val="20"/>
          <w:shd w:val="clear" w:color="auto" w:fill="FFFFFF"/>
          <w:lang w:eastAsia="zh-CN"/>
        </w:rPr>
      </w:pPr>
    </w:p>
    <w:p w14:paraId="409A98AA" w14:textId="77777777" w:rsidR="00CC6632" w:rsidRDefault="00CC6632">
      <w:pPr>
        <w:rPr>
          <w:rFonts w:eastAsia="PingFang SC" w:cs="Arial"/>
          <w:color w:val="000000" w:themeColor="text1"/>
          <w:szCs w:val="20"/>
          <w:shd w:val="clear" w:color="auto" w:fill="FFFFFF"/>
        </w:rPr>
      </w:pPr>
    </w:p>
    <w:p w14:paraId="05DF8B3A" w14:textId="77777777" w:rsidR="00CC6632" w:rsidRDefault="00CC6632">
      <w:pPr>
        <w:widowControl w:val="0"/>
        <w:wordWrap w:val="0"/>
        <w:rPr>
          <w:rFonts w:ascii="Times New Roman" w:eastAsia="SimSun" w:hAnsi="Times New Roman"/>
          <w:sz w:val="21"/>
          <w:szCs w:val="21"/>
          <w:lang w:eastAsia="zh-CN"/>
        </w:rPr>
      </w:pPr>
    </w:p>
    <w:sectPr w:rsidR="00CC6632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A577" w14:textId="77777777" w:rsidR="0015767F" w:rsidRDefault="0015767F">
      <w:pPr>
        <w:spacing w:line="240" w:lineRule="auto"/>
      </w:pPr>
      <w:r>
        <w:separator/>
      </w:r>
    </w:p>
  </w:endnote>
  <w:endnote w:type="continuationSeparator" w:id="0">
    <w:p w14:paraId="743FEDD6" w14:textId="77777777" w:rsidR="0015767F" w:rsidRDefault="00157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1436" w14:textId="77777777" w:rsidR="00CC663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519507629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D93ED" w14:textId="77777777" w:rsidR="00CC663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" filled="f" stroked="f">
              <v:textbox style="mso-fit-shape-to-text:t" inset="20pt,0,0,15pt">
                <w:txbxContent>
                  <w:p w14:paraId="1EDD93ED" w14:textId="77777777" w:rsidR="00CC663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CCE5" w14:textId="77777777" w:rsidR="00CC663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53564426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A9101" w14:textId="77777777" w:rsidR="00CC663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" filled="f" stroked="f">
              <v:textbox style="mso-fit-shape-to-text:t" inset="20pt,0,0,15pt">
                <w:txbxContent>
                  <w:p w14:paraId="790A9101" w14:textId="77777777" w:rsidR="00CC663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4106" w14:textId="77777777" w:rsidR="00CC663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32787290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8F813" w14:textId="77777777" w:rsidR="00CC663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" filled="f" stroked="f">
              <v:textbox style="mso-fit-shape-to-text:t" inset="20pt,0,0,15pt">
                <w:txbxContent>
                  <w:p w14:paraId="0E18F813" w14:textId="77777777" w:rsidR="00CC663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741A" w14:textId="77777777" w:rsidR="0015767F" w:rsidRDefault="0015767F">
      <w:r>
        <w:separator/>
      </w:r>
    </w:p>
  </w:footnote>
  <w:footnote w:type="continuationSeparator" w:id="0">
    <w:p w14:paraId="03406E13" w14:textId="77777777" w:rsidR="0015767F" w:rsidRDefault="0015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E22F"/>
    <w:multiLevelType w:val="multilevel"/>
    <w:tmpl w:val="5073E22F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33515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2tTQxNjW2NLEwMDFX0lEKTi0uzszPAykwrgUAXXBOwiwAAAA="/>
    <w:docVar w:name="commondata" w:val="eyJoZGlkIjoiMWQ0YTk2MTA1N2YxYzYyMWUwZTA3MjgwNzc2MDQxZjYifQ=="/>
  </w:docVars>
  <w:rsids>
    <w:rsidRoot w:val="00B61490"/>
    <w:rsid w:val="0015767F"/>
    <w:rsid w:val="002F186E"/>
    <w:rsid w:val="0046507D"/>
    <w:rsid w:val="004707DC"/>
    <w:rsid w:val="00477A3E"/>
    <w:rsid w:val="00703F39"/>
    <w:rsid w:val="007B6F01"/>
    <w:rsid w:val="00846CD2"/>
    <w:rsid w:val="009A41A2"/>
    <w:rsid w:val="00B61490"/>
    <w:rsid w:val="00CC6632"/>
    <w:rsid w:val="00CE44B3"/>
    <w:rsid w:val="023A5399"/>
    <w:rsid w:val="027D58A6"/>
    <w:rsid w:val="05665D07"/>
    <w:rsid w:val="06687E30"/>
    <w:rsid w:val="088864E4"/>
    <w:rsid w:val="096E0411"/>
    <w:rsid w:val="0D9D24B7"/>
    <w:rsid w:val="0DEF0169"/>
    <w:rsid w:val="10BE465A"/>
    <w:rsid w:val="11163483"/>
    <w:rsid w:val="145D0881"/>
    <w:rsid w:val="172B0B5F"/>
    <w:rsid w:val="185B58B7"/>
    <w:rsid w:val="19A7373D"/>
    <w:rsid w:val="1D947594"/>
    <w:rsid w:val="1E0E6E6F"/>
    <w:rsid w:val="221F0750"/>
    <w:rsid w:val="24393300"/>
    <w:rsid w:val="2589506A"/>
    <w:rsid w:val="26324725"/>
    <w:rsid w:val="26AF70C3"/>
    <w:rsid w:val="271011BB"/>
    <w:rsid w:val="2F4862FA"/>
    <w:rsid w:val="32E93D5F"/>
    <w:rsid w:val="3598340C"/>
    <w:rsid w:val="37FC5406"/>
    <w:rsid w:val="3A3E7CD3"/>
    <w:rsid w:val="3A5756DC"/>
    <w:rsid w:val="3A6B10EF"/>
    <w:rsid w:val="3C977567"/>
    <w:rsid w:val="3FA85010"/>
    <w:rsid w:val="40680A7F"/>
    <w:rsid w:val="40A00EB9"/>
    <w:rsid w:val="41817C3B"/>
    <w:rsid w:val="443C5322"/>
    <w:rsid w:val="44C027A9"/>
    <w:rsid w:val="44F85C75"/>
    <w:rsid w:val="46E61981"/>
    <w:rsid w:val="4779226A"/>
    <w:rsid w:val="48013092"/>
    <w:rsid w:val="49731D6E"/>
    <w:rsid w:val="49AE41D4"/>
    <w:rsid w:val="4AAE12AF"/>
    <w:rsid w:val="4E08688A"/>
    <w:rsid w:val="5060129E"/>
    <w:rsid w:val="51177D3A"/>
    <w:rsid w:val="53F462CB"/>
    <w:rsid w:val="59513E7A"/>
    <w:rsid w:val="5976469C"/>
    <w:rsid w:val="5A86796E"/>
    <w:rsid w:val="5CCD57FD"/>
    <w:rsid w:val="5D852A06"/>
    <w:rsid w:val="679F45B1"/>
    <w:rsid w:val="67E4235D"/>
    <w:rsid w:val="6AC87D14"/>
    <w:rsid w:val="6C9914BE"/>
    <w:rsid w:val="739C1C0B"/>
    <w:rsid w:val="75A91C21"/>
    <w:rsid w:val="76BC5DD8"/>
    <w:rsid w:val="77ED136A"/>
    <w:rsid w:val="7A7A0A53"/>
    <w:rsid w:val="7B4017E6"/>
    <w:rsid w:val="7DF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05FB28-A0F1-4E91-B5FD-1CB48ED6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spacing w:line="480" w:lineRule="auto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semiHidden/>
    <w:unhideWhenUsed/>
    <w:qFormat/>
    <w:pPr>
      <w:spacing w:beforeAutospacing="1" w:afterAutospacing="1"/>
      <w:outlineLvl w:val="2"/>
    </w:pPr>
    <w:rPr>
      <w:rFonts w:ascii="SimSun" w:eastAsia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eastAsia="SimHe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semiHidden/>
    <w:unhideWhenUsed/>
    <w:qFormat/>
    <w:rPr>
      <w:rFonts w:eastAsia="SimHei"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Times New Roman" w:hAnsi="Arial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Times New Roman" w:hAnsi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</dc:creator>
  <cp:lastModifiedBy>Khanapur, Soumya</cp:lastModifiedBy>
  <cp:revision>3</cp:revision>
  <dcterms:created xsi:type="dcterms:W3CDTF">2025-04-12T06:36:00Z</dcterms:created>
  <dcterms:modified xsi:type="dcterms:W3CDTF">2025-04-15T06:22:00Z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5DD5D645E73C41359786892EFD395662_12</vt:lpwstr>
  </property>
  <property fmtid="{D5CDD505-2E9C-101B-9397-08002B2CF9AE}" pid="4" name="KSOTemplateDocerSaveRecord">
    <vt:lpwstr>eyJoZGlkIjoiMWQ0YTk2MTA1N2YxYzYyMWUwZTA3MjgwNzc2MDQxZjYiLCJ1c2VySWQiOiI2MjA5MDA2NDQifQ==</vt:lpwstr>
  </property>
  <property fmtid="{D5CDD505-2E9C-101B-9397-08002B2CF9AE}" pid="5" name="ClassificationContentMarkingFooterShapeIds">
    <vt:lpwstr>3799345a,5a91d8ad,5b881264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2025-04-05T20:47:20Z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8613fe2a-d87a-4564-8f59-ddbd133ab7d7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