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BF1F" w14:textId="4BE95DBD" w:rsidR="008C4A07" w:rsidRDefault="009131E4" w:rsidP="00935513">
      <w:pPr>
        <w:spacing w:line="480" w:lineRule="auto"/>
      </w:pPr>
      <w:r>
        <w:rPr>
          <w:b/>
          <w:bCs/>
        </w:rPr>
        <w:t>Supplementary Methods</w:t>
      </w:r>
    </w:p>
    <w:p w14:paraId="657E36FC" w14:textId="5340CB4C" w:rsidR="009131E4" w:rsidRPr="00946CAF" w:rsidRDefault="009131E4" w:rsidP="00946CAF">
      <w:pPr>
        <w:spacing w:line="480" w:lineRule="auto"/>
        <w:rPr>
          <w:b/>
          <w:bCs/>
          <w:i/>
          <w:iCs/>
        </w:rPr>
      </w:pPr>
      <w:r w:rsidRPr="00946CAF">
        <w:rPr>
          <w:b/>
          <w:bCs/>
          <w:i/>
          <w:iCs/>
        </w:rPr>
        <w:t>Trier Social Stress Test</w:t>
      </w:r>
    </w:p>
    <w:p w14:paraId="0C1E0DEE" w14:textId="6B62C875" w:rsidR="009131E4" w:rsidRPr="002806B4" w:rsidRDefault="008D742C" w:rsidP="009131E4">
      <w:pPr>
        <w:spacing w:line="480" w:lineRule="auto"/>
        <w:ind w:firstLine="360"/>
      </w:pPr>
      <w:r>
        <w:t xml:space="preserve">Protocol is based on </w:t>
      </w:r>
      <w:r>
        <w:fldChar w:fldCharType="begin"/>
      </w:r>
      <w:r>
        <w:instrText xml:space="preserve"> ADDIN ZOTERO_ITEM CSL_CITATION {"citationID":"hJ4eFWB7","properties":{"formattedCitation":"(Narvaez Linares et al., 2020)","plainCitation":"(Narvaez Linares et al., 2020)","noteIndex":0},"citationItems":[{"id":2241,"uris":["http://zotero.org/groups/4348316/items/ST8KN3QN"],"uri":["http://zotero.org/groups/4348316/items/ST8KN3QN"],"itemData":{"id":2241,"type":"article-journal","abstract":"Since its development in 1993, the Trier Social Stress Test (TSST) has been used widely as a psychosocial stress paradigm to activate the sympathetic nervous system and hypothalamic-pituitary-adrenal axis (HPAA) stress systems, stimulating physiological functions (e.g. heart rate) and cortisol secretion. Several methodological variations introduced over the years have led the scientific community to question replication between studies. In this systematic review, we used the Preferred Reporting Items of Systematic Reviews and Meta-Analysis (PRISMA) to synthesize procedure-related data available about the TSST protocol to highlight commonalities and differences across studies. We noted significant discrepancies across studies in how researchers applied the TSST protocol. In particular, we highlight variations in testing procedures (e.g., number of judges, initial number in the arithmetic task, time of the collected saliva samples for cortisol) and discuss possible misinterpretation in comparing findings from studies failing to control for variables or using a modified version from the original protocol. Further, we recommend that researchers use a standardized background questionnaire when using the TSST to identify factors that may influence physiological measurements in tandem with a summary of this review as a protocol guide. More systematic implementation and detailed reporting of TSST methodology will promote study replication, optimize comparison of findings, and foster an informed understanding of factors affecting responses to social stressors in healthy people and those with pathological conditions.","container-title":"Neurobiology of Stress","DOI":"10.1016/j.ynstr.2020.100235","ISSN":"2352-2895","journalAbbreviation":"Neurobiology of Stress","language":"en","page":"100235","source":"ScienceDirect","title":"A systematic review of the Trier Social Stress Test methodology: Issues in promoting study comparison and replicable research","title-short":"A systematic review of the Trier Social Stress Test methodology","volume":"13","author":[{"family":"Narvaez Linares","given":"N. F."},{"family":"Charron","given":"V."},{"family":"Ouimet","given":"A. J."},{"family":"Labelle","given":"P. R."},{"family":"Plamondon","given":"H."}],"issued":{"date-parts":[["2020",11,1]]}}}],"schema":"https://github.com/citation-style-language/schema/raw/master/csl-citation.json"} </w:instrText>
      </w:r>
      <w:r>
        <w:fldChar w:fldCharType="separate"/>
      </w:r>
      <w:r>
        <w:rPr>
          <w:noProof/>
        </w:rPr>
        <w:t>Narvaez Linares et al. (2020)</w:t>
      </w:r>
      <w:r>
        <w:fldChar w:fldCharType="end"/>
      </w:r>
      <w:r>
        <w:t xml:space="preserve">. </w:t>
      </w:r>
      <w:r w:rsidR="009131E4">
        <w:t>We gave p</w:t>
      </w:r>
      <w:r w:rsidR="009131E4" w:rsidRPr="002806B4">
        <w:t xml:space="preserve">articipants 5 minutes to prepare a 5-minute speech explaining why they were most qualified for their dream job. They could take notes to prepare but were informed they would not </w:t>
      </w:r>
      <w:r w:rsidR="009131E4">
        <w:t xml:space="preserve">have access to their </w:t>
      </w:r>
      <w:r w:rsidR="009131E4" w:rsidRPr="002806B4">
        <w:t xml:space="preserve">notes during the talk. Once preparation time had elapsed, two judges (one man and one woman) entered the room. Judges </w:t>
      </w:r>
      <w:r w:rsidR="009131E4">
        <w:t xml:space="preserve">were undergraduate students trained in administering the TSST, </w:t>
      </w:r>
      <w:r w:rsidR="009131E4" w:rsidRPr="002806B4">
        <w:t>wore lab coats</w:t>
      </w:r>
      <w:r w:rsidR="009131E4">
        <w:t xml:space="preserve">, </w:t>
      </w:r>
      <w:r w:rsidR="009131E4" w:rsidRPr="002806B4">
        <w:t xml:space="preserve">and kept a neutral expression throughout the </w:t>
      </w:r>
      <w:r w:rsidR="009131E4">
        <w:t>test (i.e., could not provide any verbal encouragements or facial feedback)</w:t>
      </w:r>
      <w:r w:rsidR="009131E4" w:rsidRPr="002806B4">
        <w:t xml:space="preserve">. </w:t>
      </w:r>
      <w:r w:rsidR="009131E4">
        <w:t>Before</w:t>
      </w:r>
      <w:r w:rsidR="009131E4" w:rsidRPr="002806B4">
        <w:t xml:space="preserve"> beginning the speech task, one of the judges (man) pointed out three cameras in the room</w:t>
      </w:r>
      <w:r w:rsidR="009131E4">
        <w:t xml:space="preserve">, </w:t>
      </w:r>
      <w:r w:rsidR="009131E4" w:rsidRPr="002806B4">
        <w:t>indicated that the talk would be recorded for subsequent behavio</w:t>
      </w:r>
      <w:r w:rsidR="009131E4">
        <w:t>u</w:t>
      </w:r>
      <w:r w:rsidR="009131E4" w:rsidRPr="002806B4">
        <w:t>ral analysis</w:t>
      </w:r>
      <w:r w:rsidR="009131E4">
        <w:t>, and informed the participant that the judges would be taking notes during their talk</w:t>
      </w:r>
      <w:r w:rsidR="009131E4" w:rsidRPr="002806B4">
        <w:t xml:space="preserve">. </w:t>
      </w:r>
      <w:r w:rsidR="009131E4">
        <w:t>The</w:t>
      </w:r>
      <w:r w:rsidR="009131E4" w:rsidRPr="002806B4">
        <w:t xml:space="preserve"> judge (man) then asked the participant to stand up and deliver their speech. If </w:t>
      </w:r>
      <w:r w:rsidR="009131E4">
        <w:t xml:space="preserve">the </w:t>
      </w:r>
      <w:r w:rsidR="009131E4" w:rsidRPr="002806B4">
        <w:t xml:space="preserve">participant stopped talking for more than 5 seconds, a judge would prompt the participant by asking </w:t>
      </w:r>
      <w:r w:rsidR="009131E4">
        <w:t xml:space="preserve">standardized </w:t>
      </w:r>
      <w:r w:rsidR="009131E4" w:rsidRPr="002806B4">
        <w:t xml:space="preserve">questions on the topic. Afterwards, </w:t>
      </w:r>
      <w:r w:rsidR="009131E4">
        <w:t>a 5-minute</w:t>
      </w:r>
      <w:r w:rsidR="009131E4" w:rsidRPr="002806B4">
        <w:t xml:space="preserve"> arithmetic task was initiated</w:t>
      </w:r>
      <w:r w:rsidR="009131E4">
        <w:t xml:space="preserve">, which </w:t>
      </w:r>
      <w:r w:rsidR="009131E4" w:rsidRPr="002806B4">
        <w:t xml:space="preserve">consisted of subtracting from 2043 in increments of 17. If </w:t>
      </w:r>
      <w:r w:rsidR="009131E4">
        <w:t xml:space="preserve">a </w:t>
      </w:r>
      <w:r w:rsidR="009131E4" w:rsidRPr="002806B4">
        <w:t xml:space="preserve">participant made a calculation error, </w:t>
      </w:r>
      <w:r w:rsidR="009131E4">
        <w:t xml:space="preserve">a </w:t>
      </w:r>
      <w:r w:rsidR="009131E4" w:rsidRPr="002806B4">
        <w:t>judge</w:t>
      </w:r>
      <w:r w:rsidR="009131E4">
        <w:t xml:space="preserve"> </w:t>
      </w:r>
      <w:r w:rsidR="009131E4" w:rsidRPr="002806B4">
        <w:t xml:space="preserve">would state </w:t>
      </w:r>
      <w:r w:rsidR="009131E4">
        <w:t>"</w:t>
      </w:r>
      <w:r w:rsidR="009131E4" w:rsidRPr="002806B4">
        <w:t>Error</w:t>
      </w:r>
      <w:r w:rsidR="009131E4">
        <w:t>"</w:t>
      </w:r>
      <w:r w:rsidR="009131E4" w:rsidRPr="002806B4">
        <w:t xml:space="preserve"> and request that the participant restart from 2043. </w:t>
      </w:r>
      <w:r w:rsidR="009131E4">
        <w:t xml:space="preserve">During the debriefing session, we informed participants that the task was not recorded and that the cameras only served to induce further stress. </w:t>
      </w:r>
    </w:p>
    <w:p w14:paraId="1148FD43" w14:textId="77777777" w:rsidR="00946CAF" w:rsidRDefault="00946CAF" w:rsidP="00946CAF">
      <w:pPr>
        <w:spacing w:line="480" w:lineRule="auto"/>
        <w:rPr>
          <w:b/>
          <w:bCs/>
          <w:i/>
          <w:iCs/>
        </w:rPr>
      </w:pPr>
      <w:bookmarkStart w:id="0" w:name="_Toc76036866"/>
      <w:bookmarkStart w:id="1" w:name="_Toc76036926"/>
      <w:bookmarkStart w:id="2" w:name="_Toc82679132"/>
      <w:bookmarkStart w:id="3" w:name="_Toc85551203"/>
    </w:p>
    <w:p w14:paraId="48A085F0" w14:textId="0FBE4425" w:rsidR="00946CAF" w:rsidRPr="00946CAF" w:rsidRDefault="00946CAF" w:rsidP="00946CAF">
      <w:pPr>
        <w:spacing w:line="480" w:lineRule="auto"/>
        <w:rPr>
          <w:b/>
          <w:bCs/>
          <w:i/>
          <w:iCs/>
        </w:rPr>
      </w:pPr>
      <w:r w:rsidRPr="00946CAF">
        <w:rPr>
          <w:b/>
          <w:bCs/>
          <w:i/>
          <w:iCs/>
        </w:rPr>
        <w:t xml:space="preserve">Psychological </w:t>
      </w:r>
      <w:bookmarkEnd w:id="0"/>
      <w:bookmarkEnd w:id="1"/>
      <w:bookmarkEnd w:id="2"/>
      <w:r w:rsidRPr="00946CAF">
        <w:rPr>
          <w:b/>
          <w:bCs/>
          <w:i/>
          <w:iCs/>
        </w:rPr>
        <w:t>Questionnaires</w:t>
      </w:r>
      <w:bookmarkEnd w:id="3"/>
    </w:p>
    <w:p w14:paraId="513F1D28" w14:textId="4EBDE22A" w:rsidR="00946CAF" w:rsidRPr="00946CAF" w:rsidRDefault="00946CAF" w:rsidP="00946CAF">
      <w:pPr>
        <w:spacing w:line="480" w:lineRule="auto"/>
      </w:pPr>
      <w:r w:rsidRPr="00946CAF">
        <w:rPr>
          <w:b/>
          <w:bCs/>
          <w:lang w:val="en-US"/>
        </w:rPr>
        <w:t>CESD-R.</w:t>
      </w:r>
      <w:r w:rsidRPr="00946CAF">
        <w:t xml:space="preserve"> Scores </w:t>
      </w:r>
      <w:r>
        <w:t xml:space="preserve">on </w:t>
      </w:r>
      <w:r w:rsidRPr="00946CAF">
        <w:t xml:space="preserve">the Center of Epidemiologic Studies Depression Scale – Revised version range from 0-60, with higher scores indicating more severe depressive symptoms. The English </w:t>
      </w:r>
      <w:r w:rsidRPr="00946CAF">
        <w:lastRenderedPageBreak/>
        <w:fldChar w:fldCharType="begin"/>
      </w:r>
      <w:r w:rsidR="008D742C">
        <w:instrText xml:space="preserve"> ADDIN ZOTERO_ITEM CSL_CITATION {"citationID":"DUW8UDLZ","properties":{"formattedCitation":"(Van Dam &amp; Earleywine, 2011)","plainCitation":"(Van Dam &amp; Earleywine, 2011)","noteIndex":0},"citationItems":[{"id":2287,"uris":["http://zotero.org/groups/4348316/items/R5XTHCRC"],"uri":["http://zotero.org/groups/4348316/items/R5XTHCRC"],"itemData":{"id":2287,"type":"article-journal","abstract":"Depression has a huge societal impact, making accurate measurement paramount. While there are several available measures, the Center for Epidemiological Studies Depression Scale (CESD) is a popular assessment tool that has wide applicability in the general population. In order to reflect modern diagnostic criteria and improve upon psychometric limitations of its predecessor, the Center for Epidemiologic Studies Depression Scale--Revised (CESD-R) was recently created, but has yet to be publicized. This study explored psychometric properties of the CESD-R across a large community sample (N=7389) and smaller student sample (N=245). A newly proposed algorithmic classification method yielded base-rates of depression consistent with epidemiological results. Factor analysis suggested a unidimensional factor structure, but important utility for two separate symptom clusters. The CESD-R exhibited good psychometric properties, including high internal consistency, strong factor loadings, and theoretically consistent convergent and divergent validity with anxiety, schizotypy, and positive and negative affect. Results suggest the CESD-R is an accurate and valid measure of depression in the general population with advantages such as free distribution and an atheoretical basis.","container-title":"Psychiatry Research","DOI":"10.1016/j.psychres.2010.08.018","ISSN":"0165-1781","issue":"1","journalAbbreviation":"Psychiatry Res","language":"eng","note":"PMID: 20843557","page":"128-132","source":"PubMed","title":"Validation of the Center for Epidemiologic Studies Depression Scale--Revised (CESD-R): pragmatic depression assessment in the general population","title-short":"Validation of the Center for Epidemiologic Studies Depression Scale--Revised (CESD-R)","volume":"186","author":[{"family":"Van Dam","given":"Nicholas T."},{"family":"Earleywine","given":"Mitch"}],"issued":{"date-parts":[["2011",3,30]]}}}],"schema":"https://github.com/citation-style-language/schema/raw/master/csl-citation.json"} </w:instrText>
      </w:r>
      <w:r w:rsidRPr="00946CAF">
        <w:fldChar w:fldCharType="separate"/>
      </w:r>
      <w:r w:rsidR="008D742C">
        <w:rPr>
          <w:rFonts w:cs="Times New Roman"/>
          <w:lang w:val="en-US"/>
        </w:rPr>
        <w:t>(Van Dam &amp; Earleywine, 2011)</w:t>
      </w:r>
      <w:r w:rsidRPr="00946CAF">
        <w:fldChar w:fldCharType="end"/>
      </w:r>
      <w:r w:rsidRPr="00946CAF">
        <w:t xml:space="preserve"> and French </w:t>
      </w:r>
      <w:r w:rsidRPr="00946CAF">
        <w:fldChar w:fldCharType="begin"/>
      </w:r>
      <w:r w:rsidR="008D742C">
        <w:instrText xml:space="preserve"> ADDIN ZOTERO_ITEM CSL_CITATION {"citationID":"foQSescg","properties":{"formattedCitation":"(Morin et al., 2011)","plainCitation":"(Morin et al., 2011)","noteIndex":0},"citationItems":[{"id":2285,"uris":["http://zotero.org/groups/4348316/items/5F7H8N9K"],"uri":["http://zotero.org/groups/4348316/items/5F7H8N9K"],"itemData":{"id":2285,"type":"article-journal","abstract":"BACKGROUND: Previous research on the Center for Epidemiologic Studies Depression Scale (CES-D) has five main limitations. First, no study provided evidence of the factorial equivalence of this instrument across samples of depressive and community participants. Second, only one study included systematic tests of measurement invariance based on confirmatory factor analyses (CFA), and this study did not consider the higher-order factor structure of depression, although it is the CES-D global scale score that is most often used in the context of epidemiological studies. Third, few studies investigated the screening properties of the CES-D in non-English-language samples and their results were inconsistent. Fourth, although the French version of the CES-D has been used in several previous studies, it has never been systematically validated among community and/or depressed adults. Finally, very few studies have taken into account the ordered-categorical nature of the CES-D answer scale. The purpose of the study reported herein was therefore to examine the construct validity (i.e., factorial, reliability, measurement invariance, latent mean invariance, convergence, and screening properties) of the CES-D in a French sample of depressed patients and community adults.\nMETHODS: A total sample of 469 participants, comprising 163 clinically depressed patients and 306 community adults, was involved in this study. The factorial validity, and the measurement and latent mean invariance of the CES-D across gender and clinical status, were verified through CFAs based on ordered-categorical items. Correlation and receiver operator characteristic curves were also used to test the convergent validity and screening properties of the CES-D.\nRESULTS: The present results: (i) provided support for the factor validity and reliability of a second-order measurement model of depression based on responses to the CES-D items; (ii) revealed the full measurement invariance of the first- and second-order measurement models across gender; (iii) showed the partial strict measurement invariance (four uniquenesses had to be freely estimated, but the factor variance-covariance matrix also proved fully invariant) of the first-order factor model and the complete measurement invariance of the second-order model across patients and community adults; (iv) revealed a lack of latent mean invariance across gender and across clinical and community subsamples (with women and patients reporting higher scores on all subscales and on the full scale); (v) confirmed the convergent validity of the CES-D with measures of depression, self-esteem, anxiety, and hopelessness; and (vi) demonstrated the efficacy of the screening properties of this instrument among clinical and nonclinical adults.\nCONCLUSION: This instrument may be useful for assessing depressive symptoms or for the screening of depressive disorders in the context of epidemiological studies targeting French patients and community men and women with a background similar to those from the present study.","container-title":"Revue D'epidemiologie Et De Sante Publique","DOI":"10.1016/j.respe.2011.03.061","ISSN":"0398-7620","issue":"5","journalAbbreviation":"Rev Epidemiol Sante Publique","language":"eng","note":"PMID: 21925817","page":"327-340","source":"PubMed","title":"Psychometric properties of the Center for Epidemiologic Studies Depression Scale (CES-D) in French clinical and nonclinical adults","volume":"59","author":[{"family":"Morin","given":"Alexandre J. S."},{"family":"Moullec","given":"G."},{"family":"Maïano","given":"C."},{"family":"Layet","given":"L."},{"family":"Just","given":"J.-L."},{"family":"Ninot","given":"G."}],"issued":{"date-parts":[["2011",10]]}}}],"schema":"https://github.com/citation-style-language/schema/raw/master/csl-citation.json"} </w:instrText>
      </w:r>
      <w:r w:rsidRPr="00946CAF">
        <w:fldChar w:fldCharType="separate"/>
      </w:r>
      <w:r w:rsidR="008D742C">
        <w:rPr>
          <w:rFonts w:cs="Times New Roman"/>
          <w:lang w:val="en-US"/>
        </w:rPr>
        <w:t>(Morin et al., 2011)</w:t>
      </w:r>
      <w:r w:rsidRPr="00946CAF">
        <w:fldChar w:fldCharType="end"/>
      </w:r>
      <w:r w:rsidRPr="00946CAF">
        <w:t xml:space="preserve"> versions of the scale have shown adequate validity and reliability. </w:t>
      </w:r>
    </w:p>
    <w:p w14:paraId="7D4E779F" w14:textId="3CBBCA40" w:rsidR="00946CAF" w:rsidRPr="00946CAF" w:rsidRDefault="00946CAF" w:rsidP="00946CAF">
      <w:pPr>
        <w:spacing w:line="480" w:lineRule="auto"/>
      </w:pPr>
      <w:r w:rsidRPr="00946CAF">
        <w:rPr>
          <w:b/>
          <w:bCs/>
          <w:lang w:val="en-US"/>
        </w:rPr>
        <w:t>GHQ-12.</w:t>
      </w:r>
      <w:r w:rsidRPr="00946CAF">
        <w:t xml:space="preserve"> We used the Likert system to score participants' responses (scores ranging from 0 to 36)</w:t>
      </w:r>
      <w:r>
        <w:t xml:space="preserve"> on </w:t>
      </w:r>
      <w:r w:rsidRPr="00946CAF">
        <w:t>used the General Heath Questionnaire–12 item version</w:t>
      </w:r>
      <w:r>
        <w:t>,</w:t>
      </w:r>
      <w:r w:rsidRPr="00946CAF">
        <w:t xml:space="preserve"> with higher scores indicating a higher possibility of psychological distress. Both the English </w:t>
      </w:r>
      <w:r w:rsidRPr="00946CAF">
        <w:fldChar w:fldCharType="begin"/>
      </w:r>
      <w:r w:rsidR="008D742C">
        <w:instrText xml:space="preserve"> ADDIN ZOTERO_ITEM CSL_CITATION {"citationID":"vymnNwLA","properties":{"formattedCitation":"(Lesage et al., 2011)","plainCitation":"(Lesage et al., 2011)","noteIndex":0},"citationItems":[{"id":2291,"uris":["http://zotero.org/groups/4348316/items/CX72KYIK"],"uri":["http://zotero.org/groups/4348316/items/CX72KYIK"],"itemData":{"id":2291,"type":"article-journal","abstract":"Introduction: The aim of this study is to test the factorial structure and the internal consistency of the 12-items General Health Questionnaire adapted to work-related psychological distress (GHQW). Methods: A validated French version of the GHQ-12 was used and transformed to remind of the occupational context. A sample of 1014 workers completed the GHQW. Internal consis- tency was assessed by Cronbach’s α coefficient. The factorial structure was extracted with an exploratory factorial analysis (EFA). Results: The EFA run on the data yield to a one- factor structure explaining 60.5% of the total variance of the scale. The Cronbach’s alpha showed a very good internal consistency of the scale (α = 0.94). Conclusion: The findings support that the GHQW is a reliable and valid instrument for measuring work-related psychological distress in workers. This work-related version could find some applications in epide-miological research at work, in the study of psychosocial risk factors and in the occupational health physi- cian’s daily activity.","container-title":"Open Journal of Preventive Medicine","DOI":"10.4236/ojpm.2011.12007","issue":"2","language":"en","note":"number: 2\npublisher: Scientific Research Publishing","page":"44-48","source":"www.scirp.org","title":"Validation of the General Health Questionnaire (GHQ-12) adapted to a work-related context","volume":"1","author":[{"family":"Lesage","given":"Francois-Xavier"},{"family":"Martens-Resende","given":"Sonia"},{"family":"Deschamps","given":"Frederic"},{"family":"Berjot","given":"Sophie"}],"issued":{"date-parts":[["2011",8,22]]}}}],"schema":"https://github.com/citation-style-language/schema/raw/master/csl-citation.json"} </w:instrText>
      </w:r>
      <w:r w:rsidRPr="00946CAF">
        <w:fldChar w:fldCharType="separate"/>
      </w:r>
      <w:r w:rsidR="008D742C">
        <w:rPr>
          <w:rFonts w:cs="Times New Roman"/>
          <w:lang w:val="en-US"/>
        </w:rPr>
        <w:t>(Lesage et al., 2011)</w:t>
      </w:r>
      <w:r w:rsidRPr="00946CAF">
        <w:fldChar w:fldCharType="end"/>
      </w:r>
      <w:r w:rsidRPr="00946CAF">
        <w:t xml:space="preserve"> and French </w:t>
      </w:r>
      <w:r w:rsidRPr="00946CAF">
        <w:fldChar w:fldCharType="begin"/>
      </w:r>
      <w:r w:rsidR="008D742C">
        <w:instrText xml:space="preserve"> ADDIN ZOTERO_ITEM CSL_CITATION {"citationID":"GQ1wGYC7","properties":{"formattedCitation":"(Salama-Younes et al., 2009)","plainCitation":"(Salama-Younes et al., 2009)","noteIndex":0},"citationItems":[{"id":2294,"uris":["http://zotero.org/groups/4348316/items/LUKDMRCW"],"uri":["http://zotero.org/groups/4348316/items/LUKDMRCW"],"itemData":{"id":2294,"type":"article-journal","abstract":"The objectives of this study were to test the factor structure and internal consistency of the 12-item General Health Questionnaire (GHQ-12) and the Subjective Vitality Scale (VS) in elderly French people, and to test the relationship between these two questionnaires.","container-title":"Health and Quality of Life Outcomes","DOI":"10.1186/1477-7525-7-22","ISSN":"1477-7525","issue":"1","journalAbbreviation":"Health and Quality of Life Outcomes","page":"22","source":"BioMed Central","title":"Factor structure and internal consistency of the 12-item General Health Questionnaire (GHQ-12) and the Subjective Vitality Scale (VS), and the relationship between them: a study from France","title-short":"Factor structure and internal consistency of the 12-item General Health Questionnaire (GHQ-12) and the Subjective Vitality Scale (VS), and the relationship between them","volume":"7","author":[{"family":"Salama-Younes","given":"Mareï"},{"family":"Montazeri","given":"Ali"},{"family":"Ismaïl","given":"Amany"},{"family":"Roncin","given":"Charles"}],"issued":{"date-parts":[["2009",3,5]]}}}],"schema":"https://github.com/citation-style-language/schema/raw/master/csl-citation.json"} </w:instrText>
      </w:r>
      <w:r w:rsidRPr="00946CAF">
        <w:fldChar w:fldCharType="separate"/>
      </w:r>
      <w:r w:rsidR="008D742C">
        <w:rPr>
          <w:rFonts w:cs="Times New Roman"/>
          <w:lang w:val="en-US"/>
        </w:rPr>
        <w:t>(Salama-Younes et al., 2009)</w:t>
      </w:r>
      <w:r w:rsidRPr="00946CAF">
        <w:fldChar w:fldCharType="end"/>
      </w:r>
      <w:r w:rsidRPr="00946CAF">
        <w:t xml:space="preserve"> versions of the GHQ-12 have shown adequate validity and reliability. </w:t>
      </w:r>
    </w:p>
    <w:p w14:paraId="712B9C4C" w14:textId="77777777" w:rsidR="00946CAF" w:rsidRDefault="00946CAF" w:rsidP="009131E4">
      <w:pPr>
        <w:spacing w:line="480" w:lineRule="auto"/>
        <w:rPr>
          <w:rFonts w:eastAsia="MS PMincho" w:cs="Times New Roman"/>
          <w:b/>
          <w:bCs/>
          <w:kern w:val="24"/>
          <w:lang w:eastAsia="ja-JP"/>
        </w:rPr>
      </w:pPr>
    </w:p>
    <w:p w14:paraId="77C404EA" w14:textId="311814E8" w:rsidR="009131E4" w:rsidRPr="00946CAF" w:rsidRDefault="00946CAF" w:rsidP="009131E4">
      <w:pPr>
        <w:spacing w:line="480" w:lineRule="auto"/>
        <w:rPr>
          <w:b/>
          <w:bCs/>
          <w:i/>
          <w:iCs/>
        </w:rPr>
      </w:pPr>
      <w:r w:rsidRPr="00946CAF">
        <w:rPr>
          <w:rFonts w:eastAsia="MS PMincho" w:cs="Times New Roman"/>
          <w:b/>
          <w:bCs/>
          <w:i/>
          <w:iCs/>
          <w:kern w:val="24"/>
          <w:lang w:eastAsia="ja-JP"/>
        </w:rPr>
        <w:t>Neuropsychological Assessment</w:t>
      </w:r>
      <w:r>
        <w:rPr>
          <w:rFonts w:eastAsia="MS PMincho" w:cs="Times New Roman"/>
          <w:b/>
          <w:bCs/>
          <w:i/>
          <w:iCs/>
          <w:kern w:val="24"/>
          <w:lang w:eastAsia="ja-JP"/>
        </w:rPr>
        <w:t>s</w:t>
      </w:r>
    </w:p>
    <w:p w14:paraId="4E2D4790" w14:textId="723EBFE1" w:rsidR="00946CAF" w:rsidRPr="00946CAF" w:rsidRDefault="00946CAF" w:rsidP="00946CAF">
      <w:pPr>
        <w:spacing w:line="480" w:lineRule="auto"/>
        <w:ind w:firstLine="720"/>
      </w:pPr>
      <w:r w:rsidRPr="00946CAF">
        <w:rPr>
          <w:b/>
          <w:bCs/>
          <w:lang w:val="en-US"/>
        </w:rPr>
        <w:t xml:space="preserve">ACT. </w:t>
      </w:r>
      <w:r>
        <w:rPr>
          <w:lang w:val="en-US"/>
        </w:rPr>
        <w:t>During</w:t>
      </w:r>
      <w:r w:rsidRPr="00946CAF">
        <w:t xml:space="preserve"> the Auditory Consonant Triagrams</w:t>
      </w:r>
      <w:r>
        <w:t>,</w:t>
      </w:r>
      <w:r w:rsidRPr="00946CAF">
        <w:t xml:space="preserve"> </w:t>
      </w:r>
      <w:r>
        <w:t>p</w:t>
      </w:r>
      <w:r w:rsidRPr="00946CAF">
        <w:t>articipants were given a random set of 3 consonants, then asked to count down starting from a random number in increments of 3 for either 9, 18, or 36 seconds (except for the 0-second trials, in which consonants were repeated right away). After the time interval, participants had to repeat the 3 consonants</w:t>
      </w:r>
      <w:r w:rsidRPr="00946CAF">
        <w:rPr>
          <w:lang w:val="en-GB"/>
        </w:rPr>
        <w:t>. Each interval was tested 5 times with different sets of consonants. H</w:t>
      </w:r>
      <w:r w:rsidRPr="00946CAF">
        <w:t xml:space="preserve">igher scores on the ACT reflect better auditory working memory performance. The validity and reliability have been previously confirmed </w:t>
      </w:r>
      <w:r w:rsidRPr="00946CAF">
        <w:fldChar w:fldCharType="begin"/>
      </w:r>
      <w:r w:rsidR="008D742C">
        <w:instrText xml:space="preserve"> ADDIN ZOTERO_ITEM CSL_CITATION {"citationID":"PHQerITn","properties":{"formattedCitation":"(Shura et al., 2016)","plainCitation":"(Shura et al., 2016)","noteIndex":0},"citationItems":[{"id":2247,"uris":["http://zotero.org/groups/4348316/items/BMNDJP7M"],"uri":["http://zotero.org/groups/4348316/items/BMNDJP7M"],"itemData":{"id":2247,"type":"article-journal","abstract":"The Auditory Consonant Trigrams (ACT) test was developed to evaluate immediate memory in the absence of rehearsal. There are few psychometric studies of the measure and a lack of normative data using samples from the United States or Veterans. ACT data were examined for 184 participants who passed the Word Memory Test, denied a history of moderate to severe traumatic brain injury (TBI), and consented for research purposes only. Reliability and construct validity were examined and normative data developed using a healthy subsample. Cronbach's α for the ACT total score was 0.79. Regression analyses suggested that years of education, estimated premorbid IQ, psychomotor speed, working memory, and impulsivity had the strongest relationships with performance on the ACT. Performance was unrelated to posttraumatic stress disorder and remote mild TBI, but the presence of major depressive disorder was associated with lower total scores. These results demonstrate the ACT has adequate psychometric properties.","container-title":"Archives of Clinical Neuropsychology: The Official Journal of the National Academy of Neuropsychologists","DOI":"10.1093/arclin/acv083","ISSN":"1873-5843","issue":"1","journalAbbreviation":"Arch Clin Neuropsychol","language":"eng","note":"PMID: 26645315","page":"47-57","source":"PubMed","title":"Auditory Consonant Trigrams: A Psychometric Update†","title-short":"Auditory Consonant Trigrams","volume":"31","author":[{"family":"Shura","given":"Robert D."},{"family":"Rowland","given":"Jared A."},{"family":"Miskey","given":"Holly M."}],"issued":{"date-parts":[["2016",2]]}}}],"schema":"https://github.com/citation-style-language/schema/raw/master/csl-citation.json"} </w:instrText>
      </w:r>
      <w:r w:rsidRPr="00946CAF">
        <w:fldChar w:fldCharType="separate"/>
      </w:r>
      <w:r w:rsidR="008D742C">
        <w:rPr>
          <w:rFonts w:cs="Times New Roman"/>
          <w:lang w:val="en-US"/>
        </w:rPr>
        <w:t>(Shura et al., 2016)</w:t>
      </w:r>
      <w:r w:rsidRPr="00946CAF">
        <w:fldChar w:fldCharType="end"/>
      </w:r>
      <w:r w:rsidRPr="00946CAF">
        <w:t xml:space="preserve">. To our knowledge, there is no French translation of the ACT. Consequently, instructions and administration were done in French, using the same consonant sets as the English version. </w:t>
      </w:r>
    </w:p>
    <w:p w14:paraId="4E05733D" w14:textId="04800A66" w:rsidR="00946CAF" w:rsidRPr="00946CAF" w:rsidRDefault="00946CAF" w:rsidP="00946CAF">
      <w:pPr>
        <w:spacing w:line="480" w:lineRule="auto"/>
        <w:ind w:firstLine="720"/>
        <w:rPr>
          <w:lang w:val="en-US"/>
        </w:rPr>
      </w:pPr>
      <w:r w:rsidRPr="00946CAF">
        <w:rPr>
          <w:b/>
          <w:bCs/>
          <w:lang w:val="en-US"/>
        </w:rPr>
        <w:t xml:space="preserve">CBS. </w:t>
      </w:r>
      <w:r w:rsidRPr="00946CAF">
        <w:rPr>
          <w:lang w:val="en-US"/>
        </w:rPr>
        <w:t xml:space="preserve">The Cambridge Brain Sciences (CBS; </w:t>
      </w:r>
      <w:hyperlink r:id="rId7" w:history="1">
        <w:r w:rsidRPr="00946CAF">
          <w:rPr>
            <w:rStyle w:val="Hyperlink"/>
            <w:lang w:val="en-US"/>
          </w:rPr>
          <w:t>https://www.cambridgebrainsciences.com/</w:t>
        </w:r>
      </w:hyperlink>
      <w:r w:rsidRPr="00946CAF">
        <w:rPr>
          <w:lang w:val="en-US"/>
        </w:rPr>
        <w:t xml:space="preserve">) is an online cognitive assessment used to measure the participants' memory, reasoning, verbal ability, and concentration skills. A discussion between authors concluded that the results from the CBS will not be included, as concerns about the validity and reliability of online testing were raised. </w:t>
      </w:r>
    </w:p>
    <w:p w14:paraId="11E4CC23" w14:textId="5C7B6CC3" w:rsidR="00946CAF" w:rsidRPr="00946CAF" w:rsidRDefault="00946CAF" w:rsidP="00946CAF">
      <w:pPr>
        <w:spacing w:line="480" w:lineRule="auto"/>
        <w:ind w:firstLine="720"/>
      </w:pPr>
      <w:r w:rsidRPr="00946CAF">
        <w:rPr>
          <w:b/>
          <w:bCs/>
          <w:lang w:val="en-US"/>
        </w:rPr>
        <w:lastRenderedPageBreak/>
        <w:t xml:space="preserve">COWAT. </w:t>
      </w:r>
      <w:r w:rsidR="00CD6159">
        <w:t>To measure</w:t>
      </w:r>
      <w:r w:rsidRPr="00946CAF">
        <w:t xml:space="preserve"> phonemic fluency</w:t>
      </w:r>
      <w:r w:rsidR="00CD6159">
        <w:t xml:space="preserve"> in </w:t>
      </w:r>
      <w:r w:rsidR="00CD6159" w:rsidRPr="00946CAF">
        <w:t>the Controlled Oral Word Association Test</w:t>
      </w:r>
      <w:r w:rsidRPr="00946CAF">
        <w:t xml:space="preserve">, participants were asked to name as many words as possible starting by a given letter (F, A, S for the English version; T, N, P for the French version) within a 60-second time period (per letter). For semantic fluency, participants were required to name as many animals as possible in 60 seconds. Higher scores on those tests are indicative of greater verbal fluency abilities. Reliability and validity of semantic and verbal fluency tests have been well established for the English and French versions </w:t>
      </w:r>
      <w:r w:rsidRPr="00946CAF">
        <w:fldChar w:fldCharType="begin"/>
      </w:r>
      <w:r w:rsidR="008D742C">
        <w:instrText xml:space="preserve"> ADDIN ZOTERO_ITEM CSL_CITATION {"citationID":"Gy0vHK4g","properties":{"formattedCitation":"(Ross et al., 2007; Tombaugh et al., 1999)","plainCitation":"(Ross et al., 2007; Tombaugh et al., 1999)","noteIndex":0},"citationItems":[{"id":2338,"uris":["http://zotero.org/groups/4348316/items/P4NLBY2D"],"uri":["http://zotero.org/groups/4348316/items/P4NLBY2D"],"itemData":{"id":2338,"type":"article-journal","abstract":"The reliability and validity of two qualitative scoring systems for the Controlled Oral Word Association Test [Benton, A. L., Hamsher, de S. K., &amp;amp; Sivan, A. B. (1983). Multilingual aplasia examination (2nd ed.). Iowa City, IA: AJA Associates] were examined in 108 healthy young adults. The scoring systems developed by Troyer et al. [Troyer, A. K., Moscovich, M., &amp;amp; Winocur, G. (1997). Clustering and switching as two components of verbal fluency: Evidence from younger and older healthy adults. Neuropsychology, 11, 138–146] and by Abwender et al. [Abwender, D. A., Swan, J. G., Bowerman, J. T., &amp;amp; Connolly, S. W. (2001a). Qualitative analysis of verbal fluency output: Review and comparison of several scoring methods. Assessment, 8, 323–336] each demonstrated excellent interrater reliability (all indices at or above ricc=.9). Consistent with previous research [e.g., Ross, T. P. (2003). The reliability of cluster and switch scores for the COWAT. Archives of Clinical Psychology, 18, 153–164), test–retest reliability coefficients (N=53; M interval 44.6 days) for the qualitative scores were modest to poor (ricc=.6 to .4 range). Correlations among COWAT scores, measures of executive functioning, verbal learning, working memory, and vocabulary were examined. The idea that qualitative scores represent distinct executive functions such as cognitive flexibility or strategy utilization was not supported. We offer the interpretation that COWAT performance may require the ability to retrieve words in a non-routine manner while suppressing habitual responses and associated processing interference, presumably due to a spread of activation across semantic or lexical networks. This interpretation, though speculative at present, implies that clustering and switching on the COWAT may not be entirely deliberate, but rather an artifact of a passive (i.e., state-dependent) process. Ideas for future research, most noticeably experimental studies using cognitive methods (e.g., priming), are discussed.","container-title":"Archives of Clinical Neuropsychology","DOI":"10.1016/j.acn.2007.01.026","ISSN":"0887-6177","issue":"4","journalAbbreviation":"Archives of Clinical Neuropsychology","page":"475-488","source":"Silverchair","title":"The reliability and validity of qualitative scores for the Controlled Oral Word Association Test","volume":"22","author":[{"family":"Ross","given":"Thomas P."},{"family":"Calhoun","given":"Emily"},{"family":"Cox","given":"Tara"},{"family":"Wenner","given":"Carolyn"},{"family":"Kono","given":"Whitney"},{"family":"Pleasant","given":"Morgan"}],"issued":{"date-parts":[["2007",5,1]]}}},{"id":2307,"uris":["http://zotero.org/groups/4348316/items/HFMUW35M"],"uri":["http://zotero.org/groups/4348316/items/HFMUW35M"],"itemData":{"id":2307,"type":"article-journal","abstract":"Normative data stratified by three levels of age (16–59, 60–79, and 80–95 years) and three levels of education (0–8, 9–12, and 13–21 years) are presented for phonemic verbal fluency (FAS) and categorical verbal fluency (Animal Naming). The normative sample, aged 16 to 95 years, consisted of 1,300 cognitively intact individuals who resided in the community. Years of education ranged from 0 to 21. The total number of words in 1 minute for each of the letters F, A, and S was correlated r = .52 with the number of animal names generated in 1 minute. Regression analyses showed that FAS was more sensitive to the effects of education (18.6% of the variance) than age (11.0% of the variance). The opposite relationship occurred for Animal Naming, where age accounted for 23.4% of the variance and education accounted only for 13.6%. Gender accounted for less than 1% of variance for FAS and Animal Naming. The clinical utility of these norms is discussed.","container-title":"Archives of Clinical Neuropsychology","DOI":"10.1016/S0887-6177(97)00095-4","ISSN":"0887-6177","issue":"2","journalAbbreviation":"Archives of Clinical Neuropsychology","language":"en","page":"167-177","source":"ScienceDirect","title":"Normative Data Stratified by Age and Education for Two Measures of Verbal Fluency: FAS and Animal Naming","title-short":"Normative Data Stratified by Age and Education for Two Measures of Verbal Fluency","volume":"14","author":[{"family":"Tombaugh","given":"Tom N"},{"family":"Kozak","given":"Jean"},{"family":"Rees","given":"Laura"}],"issued":{"date-parts":[["1999",2,1]]}}}],"schema":"https://github.com/citation-style-language/schema/raw/master/csl-citation.json"} </w:instrText>
      </w:r>
      <w:r w:rsidRPr="00946CAF">
        <w:fldChar w:fldCharType="separate"/>
      </w:r>
      <w:r w:rsidR="008D742C">
        <w:rPr>
          <w:rFonts w:cs="Times New Roman"/>
          <w:lang w:val="en-US"/>
        </w:rPr>
        <w:t>(Ross et al., 2007; Tombaugh et al., 1999)</w:t>
      </w:r>
      <w:r w:rsidRPr="00946CAF">
        <w:rPr>
          <w:lang w:val="en-US"/>
        </w:rPr>
        <w:fldChar w:fldCharType="end"/>
      </w:r>
      <w:r w:rsidRPr="00946CAF">
        <w:t>.</w:t>
      </w:r>
    </w:p>
    <w:p w14:paraId="1845BD3C" w14:textId="7BF66D35" w:rsidR="00CD6159" w:rsidRDefault="00CD6159" w:rsidP="00CD6159">
      <w:pPr>
        <w:spacing w:line="480" w:lineRule="auto"/>
        <w:ind w:firstLine="720"/>
        <w:rPr>
          <w:lang w:val="en-US"/>
        </w:rPr>
      </w:pPr>
      <w:r w:rsidRPr="00CD6159">
        <w:rPr>
          <w:b/>
          <w:bCs/>
          <w:lang w:val="en-US"/>
        </w:rPr>
        <w:t xml:space="preserve">MoCA.  </w:t>
      </w:r>
      <w:r w:rsidRPr="00CD6159">
        <w:rPr>
          <w:lang w:val="en-US"/>
        </w:rPr>
        <w:t xml:space="preserve">The Montréal Cognitive Assessment (MoCA) is scored out of 30 points, with a total score of &lt; 26 used to indicate a mild cognitive impairment. The validity and reliability of the MoCA have been well documented </w:t>
      </w:r>
      <w:r w:rsidRPr="00CD6159">
        <w:rPr>
          <w:lang w:val="en-US"/>
        </w:rPr>
        <w:fldChar w:fldCharType="begin"/>
      </w:r>
      <w:r w:rsidR="008D742C">
        <w:rPr>
          <w:lang w:val="en-US"/>
        </w:rPr>
        <w:instrText xml:space="preserve"> ADDIN ZOTERO_ITEM CSL_CITATION {"citationID":"KqXh7wgk","properties":{"formattedCitation":"(Freitas et al., 2012)","plainCitation":"(Freitas et al., 2012)","noteIndex":0},"citationItems":[{"id":2260,"uris":["http://zotero.org/groups/4348316/items/ZHP42KDP"],"uri":["http://zotero.org/groups/4348316/items/ZHP42KDP"],"itemData":{"id":2260,"type":"article-journal","abstract":"The Montreal Cognitive Assessment (MoCA) is a brief instrument developed for the screening of milder forms of cognitive impairment. The present study aims to assess the construct related validity of the MoCA through the establishment of the factorial, convergent, and discriminant related validities, and the reliability of data. In a Portuguese sample of 830 participants, several models were tested using Confirmatory Factor Analysis. Although all tested models showed a good fit, the six-factor model based on the conceptual model proposed by the MoCA's authors showed a significantly better fit. The results allowed us to establish the factorial, convergent, and discriminant validity of this six-dimensional structure. An overall psychometric adequacy of the items, and a good reliability were also found. This study contributes to overcome an important gap in the construct related validity of this instrument. The present findings corroborate the six-dimensional structure of the MoCA and provide good evidence of the construct related validity. The MoCA has proved to be an appropriate measure for cognitive screening taking into account different cognitive domains, which will enable clinicians and researchers to use this test and its six latent dimensions to achieve a better understanding of the individuals’ cognitive profile. (JINS, 2012, 18, 242–250)","container-title":"Journal of the International Neuropsychological Society","DOI":"10.1017/S1355617711001573","ISSN":"1469-7661, 1355-6177","issue":"2","language":"en","note":"publisher: Cambridge University Press","page":"242-250","source":"Cambridge University Press","title":"Construct Validity of the Montreal Cognitive Assessment (MoCA)","volume":"18","author":[{"family":"Freitas","given":"Sandra"},{"family":"Simões","given":"Mário R."},{"family":"Marôco","given":"João"},{"family":"Alves","given":"Lara"},{"family":"Santana","given":"Isabel"}],"issued":{"date-parts":[["2012",3]]}}}],"schema":"https://github.com/citation-style-language/schema/raw/master/csl-citation.json"} </w:instrText>
      </w:r>
      <w:r w:rsidRPr="00CD6159">
        <w:rPr>
          <w:lang w:val="en-US"/>
        </w:rPr>
        <w:fldChar w:fldCharType="separate"/>
      </w:r>
      <w:r w:rsidR="008D742C">
        <w:rPr>
          <w:rFonts w:cs="Times New Roman"/>
          <w:lang w:val="en-US"/>
        </w:rPr>
        <w:t>(Freitas et al., 2012)</w:t>
      </w:r>
      <w:r w:rsidRPr="00CD6159">
        <w:rPr>
          <w:lang w:val="en-US"/>
        </w:rPr>
        <w:fldChar w:fldCharType="end"/>
      </w:r>
      <w:r w:rsidRPr="00CD6159">
        <w:rPr>
          <w:lang w:val="en-US"/>
        </w:rPr>
        <w:t xml:space="preserve">. </w:t>
      </w:r>
    </w:p>
    <w:p w14:paraId="321FC0D6" w14:textId="477D330E" w:rsidR="00CD6159" w:rsidRDefault="00CD6159" w:rsidP="00CD6159">
      <w:pPr>
        <w:spacing w:line="480" w:lineRule="auto"/>
        <w:ind w:firstLine="720"/>
        <w:rPr>
          <w:lang w:val="en-US"/>
        </w:rPr>
      </w:pPr>
      <w:r w:rsidRPr="00CD6159">
        <w:rPr>
          <w:b/>
          <w:bCs/>
          <w:lang w:val="en-US"/>
        </w:rPr>
        <w:t xml:space="preserve">RCFT. </w:t>
      </w:r>
      <w:r>
        <w:rPr>
          <w:lang w:val="en-US"/>
        </w:rPr>
        <w:t>T</w:t>
      </w:r>
      <w:r w:rsidRPr="00CD6159">
        <w:rPr>
          <w:lang w:val="en-US"/>
        </w:rPr>
        <w:t xml:space="preserve">he Rey Complex Figure Test and Recognition Trial was administered in four trials. First, participants were asked to copy the complex figure (copy trial) and then draw the figure from memory 3 min (immediate recall trial) and 30 min (delayed recall trial) after the completion of the copy trial. Right after the delayed recall trial, participants were asked to identify parts of the complex figure among other items that were not part of the original figure (recognition trial). The reliability and validity of the RCFT have been previously demonstrated </w:t>
      </w:r>
      <w:r w:rsidRPr="00CD6159">
        <w:rPr>
          <w:lang w:val="en-US"/>
        </w:rPr>
        <w:fldChar w:fldCharType="begin"/>
      </w:r>
      <w:r w:rsidR="008D742C">
        <w:rPr>
          <w:lang w:val="en-US"/>
        </w:rPr>
        <w:instrText xml:space="preserve"> ADDIN ZOTERO_ITEM CSL_CITATION {"citationID":"PkWMWtc3","properties":{"formattedCitation":"(Tupler et al., 1995)","plainCitation":"(Tupler et al., 1995)","noteIndex":0},"citationItems":[{"id":2298,"uris":["http://zotero.org/groups/4348316/items/V6JN2S36"],"uri":["http://zotero.org/groups/4348316/items/V6JN2S36"],"itemData":{"id":2298,"type":"article-journal","abstract":"Rater reliability was evaluated for the system most widely used to assess copy and recall of the Rey Complex Figure: the Osterrieth (1944) 18-item scoring system. The study sample consisted of 95 subjects (49 males, 46 females), most of whom were elderly individuals (M = 59.83, SD = 15.21 years) suffering from memory impairment. Four raters rated copy and delayed-recall protocols, and three raters re-rated the protocols after an interval of 3 months. Results revealed excellent inter- and intra-rater reliability coefficients (.85 - .97) for total scores. However, reliabilities for the 18 individual items ranged from poor (.14) to excellent (.96). Differences in both reliability and level of subject performance were observed as a function of item and conditions of copy versus recall. It is concluded that the Osterrieth scoring system supports excellent reliability in use with memory-impaired patients using total scores. Nevertheless, individual-item reliability would benefit from enhancement, for example, via amplified delineation of relevant decision criteria.","container-title":"Journal of Clinical and Experimental Neuropsychology","DOI":"10.1080/01688639508405146","ISSN":"1380-3395","issue":"4","note":"publisher: Routledge\n_eprint: https://doi.org/10.1080/01688639508405146\nPMID: 7593476","page":"566-579","source":"Taylor and Francis+NEJM","title":"Reliability of the rey-osterrieth complex figure in use with memory-impaired patients","volume":"17","author":[{"family":"Tupler","given":"Larry A."},{"family":"Welsh","given":"Kathleen A."},{"family":"Asare-aboagye","given":"Yaw"},{"family":"Dawson","given":"Deborah V."}],"issued":{"date-parts":[["1995",8,1]]}}}],"schema":"https://github.com/citation-style-language/schema/raw/master/csl-citation.json"} </w:instrText>
      </w:r>
      <w:r w:rsidRPr="00CD6159">
        <w:rPr>
          <w:lang w:val="en-US"/>
        </w:rPr>
        <w:fldChar w:fldCharType="separate"/>
      </w:r>
      <w:r w:rsidR="008D742C">
        <w:rPr>
          <w:rFonts w:cs="Times New Roman"/>
          <w:lang w:val="en-US"/>
        </w:rPr>
        <w:t>(Tupler et al., 1995)</w:t>
      </w:r>
      <w:r w:rsidRPr="00CD6159">
        <w:rPr>
          <w:lang w:val="en-US"/>
        </w:rPr>
        <w:fldChar w:fldCharType="end"/>
      </w:r>
      <w:r w:rsidRPr="00CD6159">
        <w:rPr>
          <w:lang w:val="en-US"/>
        </w:rPr>
        <w:t>.</w:t>
      </w:r>
    </w:p>
    <w:p w14:paraId="6A2E1FAF" w14:textId="71F08212" w:rsidR="00700D49" w:rsidRPr="008D742C" w:rsidRDefault="00CD6159" w:rsidP="008D742C">
      <w:pPr>
        <w:spacing w:line="480" w:lineRule="auto"/>
        <w:ind w:firstLine="720"/>
        <w:rPr>
          <w:lang w:val="en-US"/>
        </w:rPr>
      </w:pPr>
      <w:r w:rsidRPr="00CD6159">
        <w:rPr>
          <w:b/>
          <w:bCs/>
          <w:lang w:val="en-US"/>
        </w:rPr>
        <w:t xml:space="preserve">TMT-A &amp; B. </w:t>
      </w:r>
      <w:r w:rsidRPr="00CD6159">
        <w:rPr>
          <w:lang w:val="en-US"/>
        </w:rPr>
        <w:t>In Part A</w:t>
      </w:r>
      <w:r>
        <w:rPr>
          <w:lang w:val="en-US"/>
        </w:rPr>
        <w:t xml:space="preserve"> of the Trail Making Test</w:t>
      </w:r>
      <w:r w:rsidRPr="00CD6159">
        <w:rPr>
          <w:lang w:val="en-US"/>
        </w:rPr>
        <w:t xml:space="preserve">, participants had to draw a line to connect the numbers on the page in chronological order. In Part B, participants had to alternate between connecting numbers and letters, in chronological and alphabetical order (e.g., 1-A-2-B). Scores obtained in Part A are subtracted from those obtained in Part B to obtain a global score of executive control. Both parts A and B were timed, with a shorter completion time indicative of basic numerical processing and executive function (i.e., cognitive flexibility, visual attention), </w:t>
      </w:r>
      <w:r w:rsidR="00700D49" w:rsidRPr="00CD6159">
        <w:rPr>
          <w:lang w:val="en-US"/>
        </w:rPr>
        <w:lastRenderedPageBreak/>
        <w:t>respectively</w:t>
      </w:r>
      <w:r w:rsidRPr="00CD6159">
        <w:rPr>
          <w:lang w:val="en-US"/>
        </w:rPr>
        <w:t xml:space="preserve">. The validity and reliability of the TMT A&amp; B are well accepted </w:t>
      </w:r>
      <w:r w:rsidRPr="00CD6159">
        <w:rPr>
          <w:lang w:val="en-US"/>
        </w:rPr>
        <w:fldChar w:fldCharType="begin"/>
      </w:r>
      <w:r w:rsidR="008D742C">
        <w:rPr>
          <w:lang w:val="en-US"/>
        </w:rPr>
        <w:instrText xml:space="preserve"> ADDIN ZOTERO_ITEM CSL_CITATION {"citationID":"z4pKroMU","properties":{"formattedCitation":"(Wagner et al., 2011)","plainCitation":"(Wagner et al., 2011)","noteIndex":0},"citationItems":[{"id":2257,"uris":["http://zotero.org/groups/4348316/items/XKBZRIDF"],"uri":["http://zotero.org/groups/4348316/items/XKBZRIDF"],"itemData":{"id":2257,"type":"article-journal","abstract":"The majority of patients with Major Depressive Disorder (MDD) suffer from significant executive dysfunctions. To investigate the time course of executive functions during antidepressant treatment, repeated measures of executive functions are necessary. In order to avoid practice effects, the assessment of alternate forms is suggested. The aim of this study was to compare the processing times of four alternate versions of the Trail Making Test (TMT) A and B in patients with MDD. Fifty-five subjects with DSM-IV MDD were included in the study. We analyzed mean processing times and retest reliability of the four versions of TMT A and B. Mean processing times did not differ between the four tested versions of TMT A and B. Retest reliability of TMT A and B was between 0.76 and 0.89 and between 0.86 and 0.94, respectively. Because of their identical difficulty and high reliability, the herein described versions of the TMT A and B are suitable for sequential testing of executive functioning.","container-title":"Archives of Clinical Neuropsychology","DOI":"10.1093/arclin/acr024","ISSN":"0887-6177","issue":"4","journalAbbreviation":"Archives of Clinical Neuropsychology","page":"314-321","source":"Silverchair","title":"Reliability of Three Alternate Forms of the Trail Making Tests A and B","volume":"26","author":[{"family":"Wagner","given":"Stefanie"},{"family":"Helmreich","given":"Isabella"},{"family":"Dahmen","given":"Norbert"},{"family":"Lieb","given":"Klaus"},{"family":"Tadić","given":"André"}],"issued":{"date-parts":[["2011",6,1]]}}}],"schema":"https://github.com/citation-style-language/schema/raw/master/csl-citation.json"} </w:instrText>
      </w:r>
      <w:r w:rsidRPr="00CD6159">
        <w:rPr>
          <w:lang w:val="en-US"/>
        </w:rPr>
        <w:fldChar w:fldCharType="separate"/>
      </w:r>
      <w:r w:rsidR="008D742C">
        <w:rPr>
          <w:rFonts w:cs="Times New Roman"/>
          <w:lang w:val="en-US"/>
        </w:rPr>
        <w:t>(Wagner et al., 2011)</w:t>
      </w:r>
      <w:r w:rsidRPr="00CD6159">
        <w:rPr>
          <w:lang w:val="en-US"/>
        </w:rPr>
        <w:fldChar w:fldCharType="end"/>
      </w:r>
      <w:r w:rsidRPr="00CD6159">
        <w:rPr>
          <w:lang w:val="en-US"/>
        </w:rPr>
        <w:t xml:space="preserve">. </w:t>
      </w:r>
      <w:r w:rsidR="00700D49">
        <w:rPr>
          <w:b/>
          <w:bCs/>
          <w:lang w:val="en-US"/>
        </w:rPr>
        <w:br w:type="page"/>
      </w:r>
    </w:p>
    <w:p w14:paraId="05F9B889" w14:textId="3D85AA77" w:rsidR="00935513" w:rsidRPr="00935513" w:rsidRDefault="00935513" w:rsidP="00935513">
      <w:pPr>
        <w:spacing w:line="480" w:lineRule="auto"/>
        <w:rPr>
          <w:rFonts w:eastAsia="MS PMincho" w:cs="Times New Roman"/>
          <w:b/>
          <w:bCs/>
          <w:kern w:val="24"/>
          <w:lang w:eastAsia="ja-JP"/>
        </w:rPr>
      </w:pPr>
      <w:r>
        <w:rPr>
          <w:rFonts w:eastAsia="MS PMincho" w:cs="Times New Roman"/>
          <w:b/>
          <w:bCs/>
          <w:kern w:val="24"/>
          <w:lang w:eastAsia="ja-JP"/>
        </w:rPr>
        <w:lastRenderedPageBreak/>
        <w:t>Supplementary Results</w:t>
      </w:r>
    </w:p>
    <w:p w14:paraId="5DE81459" w14:textId="52BDF293" w:rsidR="00700D49" w:rsidRPr="00700D49" w:rsidRDefault="00700D49" w:rsidP="006049AC">
      <w:pPr>
        <w:spacing w:before="240"/>
        <w:rPr>
          <w:rFonts w:eastAsia="MS PMincho" w:cs="Times New Roman"/>
          <w:b/>
          <w:bCs/>
          <w:kern w:val="24"/>
          <w:lang w:eastAsia="ja-JP"/>
        </w:rPr>
      </w:pPr>
      <w:r w:rsidRPr="00700D49">
        <w:rPr>
          <w:rFonts w:eastAsia="MS PMincho" w:cs="Times New Roman"/>
          <w:b/>
          <w:bCs/>
          <w:kern w:val="24"/>
          <w:lang w:eastAsia="ja-JP"/>
        </w:rPr>
        <w:t xml:space="preserve">Table </w:t>
      </w:r>
      <w:r>
        <w:rPr>
          <w:rFonts w:eastAsia="MS PMincho" w:cs="Times New Roman"/>
          <w:b/>
          <w:bCs/>
          <w:kern w:val="24"/>
          <w:lang w:eastAsia="ja-JP"/>
        </w:rPr>
        <w:t>S</w:t>
      </w:r>
      <w:r w:rsidRPr="00700D49">
        <w:rPr>
          <w:rFonts w:eastAsia="MS PMincho" w:cs="Times New Roman"/>
          <w:b/>
          <w:bCs/>
          <w:kern w:val="24"/>
          <w:lang w:eastAsia="ja-JP"/>
        </w:rPr>
        <w:t>1</w:t>
      </w:r>
    </w:p>
    <w:p w14:paraId="2B61887B" w14:textId="6C473848" w:rsidR="00700D49" w:rsidRPr="00700D49" w:rsidRDefault="00700D49" w:rsidP="00700D49">
      <w:pPr>
        <w:rPr>
          <w:rFonts w:eastAsia="MS PMincho" w:cs="Times New Roman"/>
          <w:i/>
          <w:iCs/>
          <w:kern w:val="24"/>
          <w:lang w:eastAsia="ja-JP"/>
        </w:rPr>
      </w:pPr>
      <w:r>
        <w:rPr>
          <w:rFonts w:eastAsia="MS PMincho" w:cs="Times New Roman"/>
          <w:i/>
          <w:iCs/>
          <w:kern w:val="24"/>
          <w:lang w:eastAsia="ja-JP"/>
        </w:rPr>
        <w:t>Medication intake.</w:t>
      </w:r>
    </w:p>
    <w:tbl>
      <w:tblPr>
        <w:tblStyle w:val="TableGrid"/>
        <w:tblW w:w="9781" w:type="dxa"/>
        <w:tblLayout w:type="fixed"/>
        <w:tblLook w:val="04A0" w:firstRow="1" w:lastRow="0" w:firstColumn="1" w:lastColumn="0" w:noHBand="0" w:noVBand="1"/>
      </w:tblPr>
      <w:tblGrid>
        <w:gridCol w:w="5240"/>
        <w:gridCol w:w="2131"/>
        <w:gridCol w:w="2410"/>
      </w:tblGrid>
      <w:tr w:rsidR="00700D49" w:rsidRPr="00700D49" w14:paraId="2D42C699" w14:textId="77777777" w:rsidTr="00307E40">
        <w:trPr>
          <w:trHeight w:val="306"/>
        </w:trPr>
        <w:tc>
          <w:tcPr>
            <w:tcW w:w="5240" w:type="dxa"/>
            <w:tcBorders>
              <w:top w:val="single" w:sz="4" w:space="0" w:color="auto"/>
              <w:left w:val="nil"/>
              <w:bottom w:val="single" w:sz="4" w:space="0" w:color="auto"/>
              <w:right w:val="nil"/>
            </w:tcBorders>
          </w:tcPr>
          <w:p w14:paraId="57BDA19C" w14:textId="39CBE4F6" w:rsidR="00700D49" w:rsidRPr="00700D49" w:rsidRDefault="00700D49" w:rsidP="00700D49">
            <w:pPr>
              <w:rPr>
                <w:rFonts w:eastAsia="MS PMincho" w:cs="Times New Roman"/>
                <w:kern w:val="24"/>
                <w:lang w:eastAsia="ja-JP"/>
              </w:rPr>
            </w:pPr>
            <w:bookmarkStart w:id="4" w:name="_Hlk45457394"/>
          </w:p>
        </w:tc>
        <w:tc>
          <w:tcPr>
            <w:tcW w:w="2131" w:type="dxa"/>
            <w:tcBorders>
              <w:top w:val="single" w:sz="4" w:space="0" w:color="auto"/>
              <w:left w:val="nil"/>
              <w:bottom w:val="single" w:sz="4" w:space="0" w:color="auto"/>
              <w:right w:val="nil"/>
            </w:tcBorders>
          </w:tcPr>
          <w:p w14:paraId="20EDD017" w14:textId="77777777" w:rsidR="00700D49" w:rsidRPr="00700D49" w:rsidRDefault="00700D49" w:rsidP="00700D49">
            <w:pPr>
              <w:jc w:val="center"/>
              <w:rPr>
                <w:rFonts w:eastAsia="MS PMincho" w:cs="Times New Roman"/>
                <w:kern w:val="24"/>
                <w:lang w:eastAsia="ja-JP"/>
              </w:rPr>
            </w:pPr>
            <w:r w:rsidRPr="00700D49">
              <w:rPr>
                <w:rFonts w:eastAsia="MS PMincho" w:cs="Times New Roman"/>
                <w:kern w:val="24"/>
                <w:lang w:eastAsia="ja-JP"/>
              </w:rPr>
              <w:t>Hx</w:t>
            </w:r>
            <w:r w:rsidRPr="00700D49">
              <w:rPr>
                <w:rFonts w:eastAsia="MS PMincho" w:cs="Times New Roman"/>
                <w:kern w:val="24"/>
                <w:vertAlign w:val="subscript"/>
                <w:lang w:eastAsia="ja-JP"/>
              </w:rPr>
              <w:t>MI</w:t>
            </w:r>
            <w:r w:rsidRPr="00700D49">
              <w:rPr>
                <w:rFonts w:eastAsia="MS PMincho" w:cs="Times New Roman"/>
                <w:kern w:val="24"/>
                <w:lang w:eastAsia="ja-JP"/>
              </w:rPr>
              <w:t xml:space="preserve"> </w:t>
            </w:r>
          </w:p>
          <w:p w14:paraId="5E54C3D7" w14:textId="4924A65C" w:rsidR="00700D49" w:rsidRPr="00700D49" w:rsidRDefault="00700D49" w:rsidP="00700D49">
            <w:pPr>
              <w:jc w:val="center"/>
              <w:rPr>
                <w:rFonts w:eastAsia="MS PMincho" w:cs="Times New Roman"/>
                <w:kern w:val="24"/>
                <w:lang w:eastAsia="ja-JP"/>
              </w:rPr>
            </w:pPr>
            <w:r w:rsidRPr="00700D49">
              <w:rPr>
                <w:rFonts w:eastAsia="MS PMincho" w:cs="Times New Roman"/>
                <w:kern w:val="24"/>
                <w:lang w:eastAsia="ja-JP"/>
              </w:rPr>
              <w:t>(n=1</w:t>
            </w:r>
            <w:r w:rsidR="00630EF4">
              <w:rPr>
                <w:rFonts w:eastAsia="MS PMincho" w:cs="Times New Roman"/>
                <w:kern w:val="24"/>
                <w:lang w:eastAsia="ja-JP"/>
              </w:rPr>
              <w:t>1</w:t>
            </w:r>
            <w:r w:rsidRPr="00700D49">
              <w:rPr>
                <w:rFonts w:eastAsia="MS PMincho" w:cs="Times New Roman"/>
                <w:kern w:val="24"/>
                <w:lang w:eastAsia="ja-JP"/>
              </w:rPr>
              <w:t>)</w:t>
            </w:r>
          </w:p>
        </w:tc>
        <w:tc>
          <w:tcPr>
            <w:tcW w:w="2410" w:type="dxa"/>
            <w:tcBorders>
              <w:top w:val="single" w:sz="4" w:space="0" w:color="auto"/>
              <w:left w:val="nil"/>
              <w:bottom w:val="single" w:sz="4" w:space="0" w:color="auto"/>
              <w:right w:val="nil"/>
            </w:tcBorders>
          </w:tcPr>
          <w:p w14:paraId="74EA05DD" w14:textId="77777777" w:rsidR="00700D49" w:rsidRPr="00700D49" w:rsidRDefault="00700D49" w:rsidP="00700D49">
            <w:pPr>
              <w:jc w:val="center"/>
              <w:rPr>
                <w:rFonts w:eastAsia="MS PMincho" w:cs="Times New Roman"/>
                <w:kern w:val="24"/>
                <w:lang w:eastAsia="ja-JP"/>
              </w:rPr>
            </w:pPr>
            <w:r w:rsidRPr="00700D49">
              <w:rPr>
                <w:rFonts w:eastAsia="MS PMincho" w:cs="Times New Roman"/>
                <w:kern w:val="24"/>
                <w:lang w:eastAsia="ja-JP"/>
              </w:rPr>
              <w:t>Hx</w:t>
            </w:r>
            <w:r w:rsidRPr="00700D49">
              <w:rPr>
                <w:rFonts w:eastAsia="MS PMincho" w:cs="Times New Roman"/>
                <w:color w:val="202124"/>
                <w:kern w:val="24"/>
                <w:shd w:val="clear" w:color="auto" w:fill="FFFFFF"/>
                <w:vertAlign w:val="subscript"/>
                <w:lang w:val="en-US" w:eastAsia="ja-JP"/>
              </w:rPr>
              <w:t>s̅</w:t>
            </w:r>
            <w:r w:rsidRPr="00700D49">
              <w:rPr>
                <w:rFonts w:eastAsia="MS PMincho" w:cs="Times New Roman"/>
                <w:kern w:val="24"/>
                <w:vertAlign w:val="subscript"/>
                <w:lang w:eastAsia="ja-JP"/>
              </w:rPr>
              <w:t>MI</w:t>
            </w:r>
            <w:r w:rsidRPr="00700D49">
              <w:rPr>
                <w:rFonts w:eastAsia="MS PMincho" w:cs="Times New Roman"/>
                <w:kern w:val="24"/>
                <w:lang w:eastAsia="ja-JP"/>
              </w:rPr>
              <w:t xml:space="preserve"> </w:t>
            </w:r>
          </w:p>
          <w:p w14:paraId="50EFEBAA" w14:textId="77777777" w:rsidR="00700D49" w:rsidRPr="00700D49" w:rsidRDefault="00700D49" w:rsidP="00700D49">
            <w:pPr>
              <w:jc w:val="center"/>
              <w:rPr>
                <w:rFonts w:eastAsia="MS PMincho" w:cs="Times New Roman"/>
                <w:kern w:val="24"/>
                <w:lang w:eastAsia="ja-JP"/>
              </w:rPr>
            </w:pPr>
            <w:r w:rsidRPr="00700D49">
              <w:rPr>
                <w:rFonts w:eastAsia="MS PMincho" w:cs="Times New Roman"/>
                <w:kern w:val="24"/>
                <w:lang w:eastAsia="ja-JP"/>
              </w:rPr>
              <w:t>(n=16)</w:t>
            </w:r>
          </w:p>
        </w:tc>
      </w:tr>
      <w:bookmarkEnd w:id="4"/>
      <w:tr w:rsidR="00700D49" w:rsidRPr="00700D49" w14:paraId="57E6F295" w14:textId="77777777" w:rsidTr="00307E40">
        <w:trPr>
          <w:trHeight w:val="87"/>
        </w:trPr>
        <w:tc>
          <w:tcPr>
            <w:tcW w:w="5240" w:type="dxa"/>
            <w:tcBorders>
              <w:top w:val="single" w:sz="4" w:space="0" w:color="auto"/>
              <w:left w:val="nil"/>
              <w:bottom w:val="nil"/>
              <w:right w:val="nil"/>
            </w:tcBorders>
          </w:tcPr>
          <w:p w14:paraId="75C996B3" w14:textId="311E6E81" w:rsidR="009F0F4D" w:rsidRPr="00700D49" w:rsidRDefault="003E658B" w:rsidP="00700D49">
            <w:pPr>
              <w:rPr>
                <w:kern w:val="24"/>
              </w:rPr>
            </w:pPr>
            <w:r>
              <w:rPr>
                <w:kern w:val="24"/>
              </w:rPr>
              <w:t>Medication for heart or blood vessels</w:t>
            </w:r>
          </w:p>
        </w:tc>
        <w:tc>
          <w:tcPr>
            <w:tcW w:w="2131" w:type="dxa"/>
            <w:tcBorders>
              <w:top w:val="single" w:sz="4" w:space="0" w:color="auto"/>
              <w:left w:val="nil"/>
              <w:bottom w:val="nil"/>
              <w:right w:val="nil"/>
            </w:tcBorders>
          </w:tcPr>
          <w:p w14:paraId="51A736EE" w14:textId="45EB3AFD" w:rsidR="00700D49" w:rsidRPr="00700D49" w:rsidRDefault="00700D49" w:rsidP="00700D49">
            <w:pPr>
              <w:jc w:val="center"/>
              <w:rPr>
                <w:rFonts w:eastAsia="MS PMincho" w:cs="Times New Roman"/>
                <w:kern w:val="24"/>
                <w:lang w:eastAsia="ja-JP"/>
              </w:rPr>
            </w:pPr>
          </w:p>
        </w:tc>
        <w:tc>
          <w:tcPr>
            <w:tcW w:w="2410" w:type="dxa"/>
            <w:tcBorders>
              <w:top w:val="single" w:sz="4" w:space="0" w:color="auto"/>
              <w:left w:val="nil"/>
              <w:bottom w:val="nil"/>
              <w:right w:val="nil"/>
            </w:tcBorders>
          </w:tcPr>
          <w:p w14:paraId="16F32380" w14:textId="4F430017" w:rsidR="00700D49" w:rsidRPr="00700D49" w:rsidRDefault="00700D49" w:rsidP="00700D49">
            <w:pPr>
              <w:jc w:val="center"/>
              <w:rPr>
                <w:rFonts w:eastAsia="MS PMincho" w:cs="Times New Roman"/>
                <w:kern w:val="24"/>
                <w:lang w:eastAsia="ja-JP"/>
              </w:rPr>
            </w:pPr>
          </w:p>
        </w:tc>
      </w:tr>
      <w:tr w:rsidR="009F0F4D" w:rsidRPr="00700D49" w14:paraId="61904EDF" w14:textId="77777777" w:rsidTr="00307E40">
        <w:trPr>
          <w:trHeight w:val="87"/>
        </w:trPr>
        <w:tc>
          <w:tcPr>
            <w:tcW w:w="5240" w:type="dxa"/>
            <w:tcBorders>
              <w:top w:val="nil"/>
              <w:left w:val="nil"/>
              <w:bottom w:val="nil"/>
              <w:right w:val="nil"/>
            </w:tcBorders>
          </w:tcPr>
          <w:p w14:paraId="6356486C" w14:textId="407C822C" w:rsidR="009F0F4D" w:rsidRPr="003E658B" w:rsidRDefault="003E658B" w:rsidP="001E73F5">
            <w:pPr>
              <w:ind w:left="306"/>
              <w:rPr>
                <w:kern w:val="24"/>
                <w:lang w:val="en-US"/>
              </w:rPr>
            </w:pPr>
            <w:r w:rsidRPr="003E658B">
              <w:rPr>
                <w:kern w:val="24"/>
                <w:lang w:val="en-US"/>
              </w:rPr>
              <w:t>ACT - Lisinopril</w:t>
            </w:r>
          </w:p>
        </w:tc>
        <w:tc>
          <w:tcPr>
            <w:tcW w:w="2131" w:type="dxa"/>
            <w:tcBorders>
              <w:top w:val="nil"/>
              <w:left w:val="nil"/>
              <w:bottom w:val="nil"/>
              <w:right w:val="nil"/>
            </w:tcBorders>
          </w:tcPr>
          <w:p w14:paraId="00255558" w14:textId="5A3B23D8" w:rsidR="009F0F4D" w:rsidRPr="00700D49" w:rsidRDefault="003E658B" w:rsidP="00700D49">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3347B8FB" w14:textId="6DC33489" w:rsidR="009F0F4D" w:rsidRPr="00700D49" w:rsidRDefault="003E658B" w:rsidP="00700D49">
            <w:pPr>
              <w:jc w:val="center"/>
              <w:rPr>
                <w:rFonts w:eastAsia="MS PMincho" w:cs="Times New Roman"/>
                <w:kern w:val="24"/>
                <w:lang w:eastAsia="ja-JP"/>
              </w:rPr>
            </w:pPr>
            <w:r>
              <w:rPr>
                <w:rFonts w:eastAsia="MS PMincho" w:cs="Times New Roman"/>
                <w:kern w:val="24"/>
                <w:lang w:eastAsia="ja-JP"/>
              </w:rPr>
              <w:t>0</w:t>
            </w:r>
          </w:p>
        </w:tc>
      </w:tr>
      <w:tr w:rsidR="00700D49" w:rsidRPr="003E658B" w14:paraId="6FF28F7D" w14:textId="77777777" w:rsidTr="00307E40">
        <w:trPr>
          <w:trHeight w:val="239"/>
        </w:trPr>
        <w:tc>
          <w:tcPr>
            <w:tcW w:w="5240" w:type="dxa"/>
            <w:tcBorders>
              <w:top w:val="nil"/>
              <w:left w:val="nil"/>
              <w:bottom w:val="nil"/>
              <w:right w:val="nil"/>
            </w:tcBorders>
          </w:tcPr>
          <w:p w14:paraId="51F51259" w14:textId="5BD6DF15" w:rsidR="00700D49" w:rsidRPr="00700D49"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Apo-Metoprolol/ Metoprolol / Teva-metoprolol</w:t>
            </w:r>
          </w:p>
        </w:tc>
        <w:tc>
          <w:tcPr>
            <w:tcW w:w="2131" w:type="dxa"/>
            <w:tcBorders>
              <w:top w:val="nil"/>
              <w:left w:val="nil"/>
              <w:bottom w:val="nil"/>
              <w:right w:val="nil"/>
            </w:tcBorders>
          </w:tcPr>
          <w:p w14:paraId="41CDC077" w14:textId="29DB057D" w:rsidR="00700D49" w:rsidRPr="00700D49" w:rsidRDefault="003E658B" w:rsidP="00700D49">
            <w:pPr>
              <w:jc w:val="center"/>
              <w:rPr>
                <w:rFonts w:eastAsia="MS PMincho" w:cs="Times New Roman"/>
                <w:kern w:val="24"/>
                <w:lang w:val="fr-CA" w:eastAsia="ja-JP"/>
              </w:rPr>
            </w:pPr>
            <w:r>
              <w:rPr>
                <w:rFonts w:eastAsia="MS PMincho" w:cs="Times New Roman"/>
                <w:kern w:val="24"/>
                <w:lang w:val="fr-CA" w:eastAsia="ja-JP"/>
              </w:rPr>
              <w:t>3</w:t>
            </w:r>
          </w:p>
        </w:tc>
        <w:tc>
          <w:tcPr>
            <w:tcW w:w="2410" w:type="dxa"/>
            <w:tcBorders>
              <w:top w:val="nil"/>
              <w:left w:val="nil"/>
              <w:bottom w:val="nil"/>
              <w:right w:val="nil"/>
            </w:tcBorders>
          </w:tcPr>
          <w:p w14:paraId="0D5D70CC" w14:textId="526E5517" w:rsidR="00700D49" w:rsidRPr="00700D49" w:rsidRDefault="003E658B" w:rsidP="00700D49">
            <w:pPr>
              <w:jc w:val="center"/>
              <w:rPr>
                <w:rFonts w:eastAsia="MS PMincho" w:cs="Times New Roman"/>
                <w:kern w:val="24"/>
                <w:lang w:val="fr-CA" w:eastAsia="ja-JP"/>
              </w:rPr>
            </w:pPr>
            <w:r>
              <w:rPr>
                <w:rFonts w:eastAsia="MS PMincho" w:cs="Times New Roman"/>
                <w:kern w:val="24"/>
                <w:lang w:val="fr-CA" w:eastAsia="ja-JP"/>
              </w:rPr>
              <w:t>1</w:t>
            </w:r>
          </w:p>
        </w:tc>
      </w:tr>
      <w:tr w:rsidR="00700D49" w:rsidRPr="003E658B" w14:paraId="0D9D0016" w14:textId="77777777" w:rsidTr="00307E40">
        <w:trPr>
          <w:trHeight w:val="239"/>
        </w:trPr>
        <w:tc>
          <w:tcPr>
            <w:tcW w:w="5240" w:type="dxa"/>
            <w:tcBorders>
              <w:top w:val="nil"/>
              <w:left w:val="nil"/>
              <w:bottom w:val="nil"/>
              <w:right w:val="nil"/>
            </w:tcBorders>
          </w:tcPr>
          <w:p w14:paraId="33172969" w14:textId="2022A8CF" w:rsidR="00700D49"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Aldactone</w:t>
            </w:r>
          </w:p>
        </w:tc>
        <w:tc>
          <w:tcPr>
            <w:tcW w:w="2131" w:type="dxa"/>
            <w:tcBorders>
              <w:top w:val="nil"/>
              <w:left w:val="nil"/>
              <w:bottom w:val="nil"/>
              <w:right w:val="nil"/>
            </w:tcBorders>
          </w:tcPr>
          <w:p w14:paraId="1A9C6422" w14:textId="3CB0A48D" w:rsidR="00700D49" w:rsidRPr="003E658B" w:rsidRDefault="003E658B" w:rsidP="00700D49">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7CBA2EA9" w14:textId="51B8E186" w:rsidR="00700D49" w:rsidRPr="003E658B" w:rsidRDefault="003E658B" w:rsidP="00700D49">
            <w:pPr>
              <w:jc w:val="center"/>
              <w:rPr>
                <w:rFonts w:eastAsia="MS PMincho" w:cs="Times New Roman"/>
                <w:kern w:val="24"/>
                <w:lang w:val="fr-CA" w:eastAsia="ja-JP"/>
              </w:rPr>
            </w:pPr>
            <w:r>
              <w:rPr>
                <w:rFonts w:eastAsia="MS PMincho" w:cs="Times New Roman"/>
                <w:kern w:val="24"/>
                <w:lang w:val="fr-CA" w:eastAsia="ja-JP"/>
              </w:rPr>
              <w:t>0</w:t>
            </w:r>
          </w:p>
        </w:tc>
      </w:tr>
      <w:tr w:rsidR="009F0F4D" w:rsidRPr="003E658B" w14:paraId="1C2ED8A3" w14:textId="77777777" w:rsidTr="00307E40">
        <w:trPr>
          <w:trHeight w:val="239"/>
        </w:trPr>
        <w:tc>
          <w:tcPr>
            <w:tcW w:w="5240" w:type="dxa"/>
            <w:tcBorders>
              <w:top w:val="nil"/>
              <w:left w:val="nil"/>
              <w:bottom w:val="nil"/>
              <w:right w:val="nil"/>
            </w:tcBorders>
          </w:tcPr>
          <w:p w14:paraId="33B7ECA7" w14:textId="09D33802" w:rsidR="009F0F4D" w:rsidRPr="003E658B" w:rsidRDefault="003E658B" w:rsidP="001E73F5">
            <w:pPr>
              <w:ind w:left="306"/>
              <w:rPr>
                <w:rFonts w:eastAsia="MS PMincho" w:cs="Times New Roman"/>
                <w:kern w:val="24"/>
                <w:lang w:val="fr-CA" w:eastAsia="ja-JP"/>
              </w:rPr>
            </w:pPr>
            <w:r>
              <w:rPr>
                <w:rFonts w:eastAsia="MS PMincho" w:cs="Times New Roman"/>
                <w:kern w:val="24"/>
                <w:lang w:val="fr-CA" w:eastAsia="ja-JP"/>
              </w:rPr>
              <w:t>Aspirin</w:t>
            </w:r>
          </w:p>
        </w:tc>
        <w:tc>
          <w:tcPr>
            <w:tcW w:w="2131" w:type="dxa"/>
            <w:tcBorders>
              <w:top w:val="nil"/>
              <w:left w:val="nil"/>
              <w:bottom w:val="nil"/>
              <w:right w:val="nil"/>
            </w:tcBorders>
          </w:tcPr>
          <w:p w14:paraId="31FEA234" w14:textId="5FA58B04"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5</w:t>
            </w:r>
          </w:p>
        </w:tc>
        <w:tc>
          <w:tcPr>
            <w:tcW w:w="2410" w:type="dxa"/>
            <w:tcBorders>
              <w:top w:val="nil"/>
              <w:left w:val="nil"/>
              <w:bottom w:val="nil"/>
              <w:right w:val="nil"/>
            </w:tcBorders>
          </w:tcPr>
          <w:p w14:paraId="10A16F13" w14:textId="6CD2F177"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r>
      <w:tr w:rsidR="009F0F4D" w:rsidRPr="003E658B" w14:paraId="7495B163" w14:textId="77777777" w:rsidTr="00307E40">
        <w:trPr>
          <w:trHeight w:val="239"/>
        </w:trPr>
        <w:tc>
          <w:tcPr>
            <w:tcW w:w="5240" w:type="dxa"/>
            <w:tcBorders>
              <w:top w:val="nil"/>
              <w:left w:val="nil"/>
              <w:bottom w:val="nil"/>
              <w:right w:val="nil"/>
            </w:tcBorders>
          </w:tcPr>
          <w:p w14:paraId="4777AB9D" w14:textId="6C6ADA07" w:rsidR="009F0F4D" w:rsidRPr="00700D49"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Atrovastatin</w:t>
            </w:r>
          </w:p>
        </w:tc>
        <w:tc>
          <w:tcPr>
            <w:tcW w:w="2131" w:type="dxa"/>
            <w:tcBorders>
              <w:top w:val="nil"/>
              <w:left w:val="nil"/>
              <w:bottom w:val="nil"/>
              <w:right w:val="nil"/>
            </w:tcBorders>
          </w:tcPr>
          <w:p w14:paraId="54FF93F4" w14:textId="73865A56" w:rsidR="009F0F4D" w:rsidRPr="00700D49"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6BDBE363" w14:textId="04449C0B" w:rsidR="009F0F4D" w:rsidRPr="00700D49"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9F0F4D" w:rsidRPr="003E658B" w14:paraId="2B7B250D" w14:textId="77777777" w:rsidTr="00307E40">
        <w:trPr>
          <w:trHeight w:val="239"/>
        </w:trPr>
        <w:tc>
          <w:tcPr>
            <w:tcW w:w="5240" w:type="dxa"/>
            <w:tcBorders>
              <w:top w:val="nil"/>
              <w:left w:val="nil"/>
              <w:bottom w:val="nil"/>
              <w:right w:val="nil"/>
            </w:tcBorders>
          </w:tcPr>
          <w:p w14:paraId="0921443D" w14:textId="15BD3290" w:rsidR="009F0F4D"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Auro-Carvedilol</w:t>
            </w:r>
          </w:p>
        </w:tc>
        <w:tc>
          <w:tcPr>
            <w:tcW w:w="2131" w:type="dxa"/>
            <w:tcBorders>
              <w:top w:val="nil"/>
              <w:left w:val="nil"/>
              <w:bottom w:val="nil"/>
              <w:right w:val="nil"/>
            </w:tcBorders>
          </w:tcPr>
          <w:p w14:paraId="5C439D51" w14:textId="16498785"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28F71F5E" w14:textId="1DE0BE8D"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9F0F4D" w:rsidRPr="003E658B" w14:paraId="7ABEF863" w14:textId="77777777" w:rsidTr="00307E40">
        <w:trPr>
          <w:trHeight w:val="239"/>
        </w:trPr>
        <w:tc>
          <w:tcPr>
            <w:tcW w:w="5240" w:type="dxa"/>
            <w:tcBorders>
              <w:top w:val="nil"/>
              <w:left w:val="nil"/>
              <w:bottom w:val="nil"/>
              <w:right w:val="nil"/>
            </w:tcBorders>
          </w:tcPr>
          <w:p w14:paraId="2B3C80DC" w14:textId="08E6F1C5" w:rsidR="009F0F4D"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Bisoprolol / Sandoz-Bisoprolol</w:t>
            </w:r>
          </w:p>
        </w:tc>
        <w:tc>
          <w:tcPr>
            <w:tcW w:w="2131" w:type="dxa"/>
            <w:tcBorders>
              <w:top w:val="nil"/>
              <w:left w:val="nil"/>
              <w:bottom w:val="nil"/>
              <w:right w:val="nil"/>
            </w:tcBorders>
          </w:tcPr>
          <w:p w14:paraId="4B2838CF" w14:textId="51FAFAC4"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2</w:t>
            </w:r>
          </w:p>
        </w:tc>
        <w:tc>
          <w:tcPr>
            <w:tcW w:w="2410" w:type="dxa"/>
            <w:tcBorders>
              <w:top w:val="nil"/>
              <w:left w:val="nil"/>
              <w:bottom w:val="nil"/>
              <w:right w:val="nil"/>
            </w:tcBorders>
          </w:tcPr>
          <w:p w14:paraId="61184293" w14:textId="24731F5A"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9F0F4D" w:rsidRPr="003E658B" w14:paraId="2A5A3BBB" w14:textId="77777777" w:rsidTr="00307E40">
        <w:trPr>
          <w:trHeight w:val="239"/>
        </w:trPr>
        <w:tc>
          <w:tcPr>
            <w:tcW w:w="5240" w:type="dxa"/>
            <w:tcBorders>
              <w:top w:val="nil"/>
              <w:left w:val="nil"/>
              <w:bottom w:val="nil"/>
              <w:right w:val="nil"/>
            </w:tcBorders>
          </w:tcPr>
          <w:p w14:paraId="77C8EAE4" w14:textId="7FB6762D" w:rsidR="009F0F4D"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Candesartan</w:t>
            </w:r>
          </w:p>
        </w:tc>
        <w:tc>
          <w:tcPr>
            <w:tcW w:w="2131" w:type="dxa"/>
            <w:tcBorders>
              <w:top w:val="nil"/>
              <w:left w:val="nil"/>
              <w:bottom w:val="nil"/>
              <w:right w:val="nil"/>
            </w:tcBorders>
          </w:tcPr>
          <w:p w14:paraId="71E83006" w14:textId="15E08879"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7387587A" w14:textId="5C77E5E7"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C6124E" w:rsidRPr="003E658B" w14:paraId="2067B4DD" w14:textId="77777777" w:rsidTr="00307E40">
        <w:trPr>
          <w:trHeight w:val="239"/>
        </w:trPr>
        <w:tc>
          <w:tcPr>
            <w:tcW w:w="5240" w:type="dxa"/>
            <w:tcBorders>
              <w:top w:val="nil"/>
              <w:left w:val="nil"/>
              <w:bottom w:val="nil"/>
              <w:right w:val="nil"/>
            </w:tcBorders>
          </w:tcPr>
          <w:p w14:paraId="0DCBD27A" w14:textId="79B25700" w:rsidR="00C6124E" w:rsidRPr="003E658B" w:rsidRDefault="00C6124E" w:rsidP="001E73F5">
            <w:pPr>
              <w:ind w:left="306"/>
              <w:rPr>
                <w:rFonts w:eastAsia="MS PMincho" w:cs="Times New Roman"/>
                <w:kern w:val="24"/>
                <w:lang w:val="fr-CA" w:eastAsia="ja-JP"/>
              </w:rPr>
            </w:pPr>
            <w:r w:rsidRPr="00C6124E">
              <w:rPr>
                <w:rFonts w:eastAsia="MS PMincho" w:cs="Times New Roman"/>
                <w:kern w:val="24"/>
                <w:lang w:val="fr-CA" w:eastAsia="ja-JP"/>
              </w:rPr>
              <w:t>Clopidogrel/ Plavix</w:t>
            </w:r>
          </w:p>
        </w:tc>
        <w:tc>
          <w:tcPr>
            <w:tcW w:w="2131" w:type="dxa"/>
            <w:tcBorders>
              <w:top w:val="nil"/>
              <w:left w:val="nil"/>
              <w:bottom w:val="nil"/>
              <w:right w:val="nil"/>
            </w:tcBorders>
          </w:tcPr>
          <w:p w14:paraId="5F564C17" w14:textId="49C0A624" w:rsidR="00C6124E" w:rsidRDefault="00C6124E" w:rsidP="009F0F4D">
            <w:pPr>
              <w:jc w:val="center"/>
              <w:rPr>
                <w:rFonts w:eastAsia="MS PMincho" w:cs="Times New Roman"/>
                <w:kern w:val="24"/>
                <w:lang w:val="fr-CA" w:eastAsia="ja-JP"/>
              </w:rPr>
            </w:pPr>
            <w:r>
              <w:rPr>
                <w:rFonts w:eastAsia="MS PMincho" w:cs="Times New Roman"/>
                <w:kern w:val="24"/>
                <w:lang w:val="fr-CA" w:eastAsia="ja-JP"/>
              </w:rPr>
              <w:t>4</w:t>
            </w:r>
          </w:p>
        </w:tc>
        <w:tc>
          <w:tcPr>
            <w:tcW w:w="2410" w:type="dxa"/>
            <w:tcBorders>
              <w:top w:val="nil"/>
              <w:left w:val="nil"/>
              <w:bottom w:val="nil"/>
              <w:right w:val="nil"/>
            </w:tcBorders>
          </w:tcPr>
          <w:p w14:paraId="0CB1E9EC" w14:textId="7EB298C1" w:rsidR="00C6124E" w:rsidRDefault="00C6124E" w:rsidP="009F0F4D">
            <w:pPr>
              <w:jc w:val="center"/>
              <w:rPr>
                <w:rFonts w:eastAsia="MS PMincho" w:cs="Times New Roman"/>
                <w:kern w:val="24"/>
                <w:lang w:val="fr-CA" w:eastAsia="ja-JP"/>
              </w:rPr>
            </w:pPr>
            <w:r>
              <w:rPr>
                <w:rFonts w:eastAsia="MS PMincho" w:cs="Times New Roman"/>
                <w:kern w:val="24"/>
                <w:lang w:val="fr-CA" w:eastAsia="ja-JP"/>
              </w:rPr>
              <w:t>0</w:t>
            </w:r>
          </w:p>
        </w:tc>
      </w:tr>
      <w:tr w:rsidR="009F0F4D" w:rsidRPr="003E658B" w14:paraId="1D6A577A" w14:textId="77777777" w:rsidTr="00307E40">
        <w:trPr>
          <w:trHeight w:val="239"/>
        </w:trPr>
        <w:tc>
          <w:tcPr>
            <w:tcW w:w="5240" w:type="dxa"/>
            <w:tcBorders>
              <w:top w:val="nil"/>
              <w:left w:val="nil"/>
              <w:bottom w:val="nil"/>
              <w:right w:val="nil"/>
            </w:tcBorders>
          </w:tcPr>
          <w:p w14:paraId="42CF5EAF" w14:textId="3CABAE6B" w:rsidR="009F0F4D"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Dabigatran/Pradaxa</w:t>
            </w:r>
          </w:p>
        </w:tc>
        <w:tc>
          <w:tcPr>
            <w:tcW w:w="2131" w:type="dxa"/>
            <w:tcBorders>
              <w:top w:val="nil"/>
              <w:left w:val="nil"/>
              <w:bottom w:val="nil"/>
              <w:right w:val="nil"/>
            </w:tcBorders>
          </w:tcPr>
          <w:p w14:paraId="2870366B" w14:textId="214F17F7"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c>
          <w:tcPr>
            <w:tcW w:w="2410" w:type="dxa"/>
            <w:tcBorders>
              <w:top w:val="nil"/>
              <w:left w:val="nil"/>
              <w:bottom w:val="nil"/>
              <w:right w:val="nil"/>
            </w:tcBorders>
          </w:tcPr>
          <w:p w14:paraId="73E46E5A" w14:textId="72571114"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r>
      <w:tr w:rsidR="003E658B" w:rsidRPr="003E658B" w14:paraId="3731A7C4" w14:textId="77777777" w:rsidTr="00307E40">
        <w:trPr>
          <w:trHeight w:val="239"/>
        </w:trPr>
        <w:tc>
          <w:tcPr>
            <w:tcW w:w="5240" w:type="dxa"/>
            <w:tcBorders>
              <w:top w:val="nil"/>
              <w:left w:val="nil"/>
              <w:bottom w:val="nil"/>
              <w:right w:val="nil"/>
            </w:tcBorders>
          </w:tcPr>
          <w:p w14:paraId="53B1B068" w14:textId="64532B76" w:rsidR="003E658B"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Diltiazem</w:t>
            </w:r>
          </w:p>
        </w:tc>
        <w:tc>
          <w:tcPr>
            <w:tcW w:w="2131" w:type="dxa"/>
            <w:tcBorders>
              <w:top w:val="nil"/>
              <w:left w:val="nil"/>
              <w:bottom w:val="nil"/>
              <w:right w:val="nil"/>
            </w:tcBorders>
          </w:tcPr>
          <w:p w14:paraId="62C96670" w14:textId="65B74A52"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636BBCAA" w14:textId="43AB20AD"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3E658B" w:rsidRPr="003E658B" w14:paraId="1CB5B317" w14:textId="77777777" w:rsidTr="00307E40">
        <w:trPr>
          <w:trHeight w:val="239"/>
        </w:trPr>
        <w:tc>
          <w:tcPr>
            <w:tcW w:w="5240" w:type="dxa"/>
            <w:tcBorders>
              <w:top w:val="nil"/>
              <w:left w:val="nil"/>
              <w:bottom w:val="nil"/>
              <w:right w:val="nil"/>
            </w:tcBorders>
          </w:tcPr>
          <w:p w14:paraId="3B2490F1" w14:textId="1B3A38F2" w:rsidR="003E658B"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Perindopril / PMS- Perindopril</w:t>
            </w:r>
          </w:p>
        </w:tc>
        <w:tc>
          <w:tcPr>
            <w:tcW w:w="2131" w:type="dxa"/>
            <w:tcBorders>
              <w:top w:val="nil"/>
              <w:left w:val="nil"/>
              <w:bottom w:val="nil"/>
              <w:right w:val="nil"/>
            </w:tcBorders>
          </w:tcPr>
          <w:p w14:paraId="04D93A95" w14:textId="23A76259"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3</w:t>
            </w:r>
          </w:p>
        </w:tc>
        <w:tc>
          <w:tcPr>
            <w:tcW w:w="2410" w:type="dxa"/>
            <w:tcBorders>
              <w:top w:val="nil"/>
              <w:left w:val="nil"/>
              <w:bottom w:val="nil"/>
              <w:right w:val="nil"/>
            </w:tcBorders>
          </w:tcPr>
          <w:p w14:paraId="1CA90F1E" w14:textId="6774C047"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r>
      <w:tr w:rsidR="003E658B" w:rsidRPr="003E658B" w14:paraId="3786A187" w14:textId="77777777" w:rsidTr="00307E40">
        <w:trPr>
          <w:trHeight w:val="239"/>
        </w:trPr>
        <w:tc>
          <w:tcPr>
            <w:tcW w:w="5240" w:type="dxa"/>
            <w:tcBorders>
              <w:top w:val="nil"/>
              <w:left w:val="nil"/>
              <w:bottom w:val="nil"/>
              <w:right w:val="nil"/>
            </w:tcBorders>
          </w:tcPr>
          <w:p w14:paraId="41CC1ED7" w14:textId="185233B2" w:rsidR="003E658B"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Ramipril/Altace</w:t>
            </w:r>
          </w:p>
        </w:tc>
        <w:tc>
          <w:tcPr>
            <w:tcW w:w="2131" w:type="dxa"/>
            <w:tcBorders>
              <w:top w:val="nil"/>
              <w:left w:val="nil"/>
              <w:bottom w:val="nil"/>
              <w:right w:val="nil"/>
            </w:tcBorders>
          </w:tcPr>
          <w:p w14:paraId="4EC80069" w14:textId="249603EA"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c>
          <w:tcPr>
            <w:tcW w:w="2410" w:type="dxa"/>
            <w:tcBorders>
              <w:top w:val="nil"/>
              <w:left w:val="nil"/>
              <w:bottom w:val="nil"/>
              <w:right w:val="nil"/>
            </w:tcBorders>
          </w:tcPr>
          <w:p w14:paraId="69C4A1F8" w14:textId="2A20F017"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r>
      <w:tr w:rsidR="009F0F4D" w:rsidRPr="003E658B" w14:paraId="698FC2F1" w14:textId="77777777" w:rsidTr="00307E40">
        <w:trPr>
          <w:trHeight w:val="239"/>
        </w:trPr>
        <w:tc>
          <w:tcPr>
            <w:tcW w:w="5240" w:type="dxa"/>
            <w:tcBorders>
              <w:top w:val="nil"/>
              <w:left w:val="nil"/>
              <w:bottom w:val="nil"/>
              <w:right w:val="nil"/>
            </w:tcBorders>
          </w:tcPr>
          <w:p w14:paraId="012439FF" w14:textId="16788CC9" w:rsidR="009F0F4D"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Rivaroxaban/Xarelto</w:t>
            </w:r>
          </w:p>
        </w:tc>
        <w:tc>
          <w:tcPr>
            <w:tcW w:w="2131" w:type="dxa"/>
            <w:tcBorders>
              <w:top w:val="nil"/>
              <w:left w:val="nil"/>
              <w:bottom w:val="nil"/>
              <w:right w:val="nil"/>
            </w:tcBorders>
          </w:tcPr>
          <w:p w14:paraId="65D18EC7" w14:textId="29BDBD68"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1</w:t>
            </w:r>
          </w:p>
        </w:tc>
        <w:tc>
          <w:tcPr>
            <w:tcW w:w="2410" w:type="dxa"/>
            <w:tcBorders>
              <w:top w:val="nil"/>
              <w:left w:val="nil"/>
              <w:bottom w:val="nil"/>
              <w:right w:val="nil"/>
            </w:tcBorders>
          </w:tcPr>
          <w:p w14:paraId="335F4967" w14:textId="6F181612" w:rsidR="009F0F4D"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0</w:t>
            </w:r>
          </w:p>
        </w:tc>
      </w:tr>
      <w:tr w:rsidR="003E658B" w:rsidRPr="003E658B" w14:paraId="6C794747" w14:textId="77777777" w:rsidTr="00307E40">
        <w:trPr>
          <w:trHeight w:val="239"/>
        </w:trPr>
        <w:tc>
          <w:tcPr>
            <w:tcW w:w="5240" w:type="dxa"/>
            <w:tcBorders>
              <w:top w:val="nil"/>
              <w:left w:val="nil"/>
              <w:bottom w:val="nil"/>
              <w:right w:val="nil"/>
            </w:tcBorders>
          </w:tcPr>
          <w:p w14:paraId="3F23F21A" w14:textId="23CC47D0" w:rsidR="003E658B" w:rsidRPr="003E658B" w:rsidRDefault="003E658B" w:rsidP="001E73F5">
            <w:pPr>
              <w:ind w:left="306"/>
              <w:rPr>
                <w:rFonts w:eastAsia="MS PMincho" w:cs="Times New Roman"/>
                <w:kern w:val="24"/>
                <w:lang w:val="fr-CA" w:eastAsia="ja-JP"/>
              </w:rPr>
            </w:pPr>
            <w:r w:rsidRPr="003E658B">
              <w:rPr>
                <w:rFonts w:eastAsia="MS PMincho" w:cs="Times New Roman"/>
                <w:kern w:val="24"/>
                <w:lang w:val="fr-CA" w:eastAsia="ja-JP"/>
              </w:rPr>
              <w:t>Rosuvastatin / Crestor</w:t>
            </w:r>
          </w:p>
        </w:tc>
        <w:tc>
          <w:tcPr>
            <w:tcW w:w="2131" w:type="dxa"/>
            <w:tcBorders>
              <w:top w:val="nil"/>
              <w:left w:val="nil"/>
              <w:bottom w:val="nil"/>
              <w:right w:val="nil"/>
            </w:tcBorders>
          </w:tcPr>
          <w:p w14:paraId="610B9EF1" w14:textId="6EEBC6F5"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6</w:t>
            </w:r>
          </w:p>
        </w:tc>
        <w:tc>
          <w:tcPr>
            <w:tcW w:w="2410" w:type="dxa"/>
            <w:tcBorders>
              <w:top w:val="nil"/>
              <w:left w:val="nil"/>
              <w:bottom w:val="nil"/>
              <w:right w:val="nil"/>
            </w:tcBorders>
          </w:tcPr>
          <w:p w14:paraId="15DD790B" w14:textId="663CA162" w:rsidR="003E658B" w:rsidRPr="003E658B" w:rsidRDefault="003E658B" w:rsidP="009F0F4D">
            <w:pPr>
              <w:jc w:val="center"/>
              <w:rPr>
                <w:rFonts w:eastAsia="MS PMincho" w:cs="Times New Roman"/>
                <w:kern w:val="24"/>
                <w:lang w:val="fr-CA" w:eastAsia="ja-JP"/>
              </w:rPr>
            </w:pPr>
            <w:r>
              <w:rPr>
                <w:rFonts w:eastAsia="MS PMincho" w:cs="Times New Roman"/>
                <w:kern w:val="24"/>
                <w:lang w:val="fr-CA" w:eastAsia="ja-JP"/>
              </w:rPr>
              <w:t>3</w:t>
            </w:r>
          </w:p>
        </w:tc>
      </w:tr>
      <w:tr w:rsidR="003E658B" w:rsidRPr="00700D49" w14:paraId="50237795" w14:textId="77777777" w:rsidTr="00307E40">
        <w:trPr>
          <w:trHeight w:val="239"/>
        </w:trPr>
        <w:tc>
          <w:tcPr>
            <w:tcW w:w="5240" w:type="dxa"/>
            <w:tcBorders>
              <w:top w:val="nil"/>
              <w:left w:val="nil"/>
              <w:bottom w:val="nil"/>
              <w:right w:val="nil"/>
            </w:tcBorders>
          </w:tcPr>
          <w:p w14:paraId="5B1937DC" w14:textId="34E8E34C" w:rsidR="003E658B" w:rsidRPr="00700D49" w:rsidRDefault="003E658B" w:rsidP="001E73F5">
            <w:pPr>
              <w:ind w:left="306"/>
              <w:rPr>
                <w:rFonts w:eastAsia="MS PMincho" w:cs="Times New Roman"/>
                <w:kern w:val="24"/>
                <w:lang w:eastAsia="ja-JP"/>
              </w:rPr>
            </w:pPr>
            <w:r w:rsidRPr="003E658B">
              <w:rPr>
                <w:rFonts w:eastAsia="MS PMincho" w:cs="Times New Roman"/>
                <w:kern w:val="24"/>
                <w:lang w:eastAsia="ja-JP"/>
              </w:rPr>
              <w:t>Sandoz-Candesartan</w:t>
            </w:r>
          </w:p>
        </w:tc>
        <w:tc>
          <w:tcPr>
            <w:tcW w:w="2131" w:type="dxa"/>
            <w:tcBorders>
              <w:top w:val="nil"/>
              <w:left w:val="nil"/>
              <w:bottom w:val="nil"/>
              <w:right w:val="nil"/>
            </w:tcBorders>
          </w:tcPr>
          <w:p w14:paraId="7180E93B" w14:textId="65649A26"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7980755D" w14:textId="5F7A7ED7"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69547A58" w14:textId="77777777" w:rsidTr="00307E40">
        <w:trPr>
          <w:trHeight w:val="239"/>
        </w:trPr>
        <w:tc>
          <w:tcPr>
            <w:tcW w:w="5240" w:type="dxa"/>
            <w:tcBorders>
              <w:top w:val="nil"/>
              <w:left w:val="nil"/>
              <w:bottom w:val="nil"/>
              <w:right w:val="nil"/>
            </w:tcBorders>
          </w:tcPr>
          <w:p w14:paraId="50B0E65F" w14:textId="72DE0D3A" w:rsidR="003E658B" w:rsidRPr="00700D49" w:rsidRDefault="003E658B" w:rsidP="001E73F5">
            <w:pPr>
              <w:tabs>
                <w:tab w:val="left" w:pos="1224"/>
              </w:tabs>
              <w:ind w:left="306"/>
              <w:rPr>
                <w:rFonts w:eastAsia="MS PMincho" w:cs="Times New Roman"/>
                <w:kern w:val="24"/>
                <w:lang w:eastAsia="ja-JP"/>
              </w:rPr>
            </w:pPr>
            <w:r w:rsidRPr="003E658B">
              <w:rPr>
                <w:rFonts w:eastAsia="MS PMincho" w:cs="Times New Roman"/>
                <w:kern w:val="24"/>
                <w:lang w:eastAsia="ja-JP"/>
              </w:rPr>
              <w:t>Sandoz-Termisartan</w:t>
            </w:r>
          </w:p>
        </w:tc>
        <w:tc>
          <w:tcPr>
            <w:tcW w:w="2131" w:type="dxa"/>
            <w:tcBorders>
              <w:top w:val="nil"/>
              <w:left w:val="nil"/>
              <w:bottom w:val="nil"/>
              <w:right w:val="nil"/>
            </w:tcBorders>
          </w:tcPr>
          <w:p w14:paraId="2D82B85C" w14:textId="1745A2AE"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0AE75FD7" w14:textId="7960F28A"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3F8CBFDA" w14:textId="77777777" w:rsidTr="00307E40">
        <w:trPr>
          <w:trHeight w:val="239"/>
        </w:trPr>
        <w:tc>
          <w:tcPr>
            <w:tcW w:w="5240" w:type="dxa"/>
            <w:tcBorders>
              <w:top w:val="nil"/>
              <w:left w:val="nil"/>
              <w:bottom w:val="nil"/>
              <w:right w:val="nil"/>
            </w:tcBorders>
          </w:tcPr>
          <w:p w14:paraId="3C849E46" w14:textId="0B4399B4" w:rsidR="003E658B" w:rsidRPr="00700D49" w:rsidRDefault="003E658B" w:rsidP="001E73F5">
            <w:pPr>
              <w:ind w:left="306"/>
              <w:rPr>
                <w:rFonts w:eastAsia="MS PMincho" w:cs="Times New Roman"/>
                <w:kern w:val="24"/>
                <w:lang w:eastAsia="ja-JP"/>
              </w:rPr>
            </w:pPr>
            <w:r w:rsidRPr="003E658B">
              <w:rPr>
                <w:rFonts w:eastAsia="MS PMincho" w:cs="Times New Roman"/>
                <w:kern w:val="24"/>
                <w:lang w:eastAsia="ja-JP"/>
              </w:rPr>
              <w:t>Tara-warfarin</w:t>
            </w:r>
          </w:p>
        </w:tc>
        <w:tc>
          <w:tcPr>
            <w:tcW w:w="2131" w:type="dxa"/>
            <w:tcBorders>
              <w:top w:val="nil"/>
              <w:left w:val="nil"/>
              <w:bottom w:val="nil"/>
              <w:right w:val="nil"/>
            </w:tcBorders>
          </w:tcPr>
          <w:p w14:paraId="46B8C942" w14:textId="3B6C4F0E"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3A0DD40D" w14:textId="45219C8F"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7A32175D" w14:textId="77777777" w:rsidTr="00307E40">
        <w:trPr>
          <w:trHeight w:val="239"/>
        </w:trPr>
        <w:tc>
          <w:tcPr>
            <w:tcW w:w="5240" w:type="dxa"/>
            <w:tcBorders>
              <w:top w:val="nil"/>
              <w:left w:val="nil"/>
              <w:bottom w:val="nil"/>
              <w:right w:val="nil"/>
            </w:tcBorders>
          </w:tcPr>
          <w:p w14:paraId="3E18E8FA" w14:textId="3B8A77E2" w:rsidR="003E658B" w:rsidRPr="00700D49" w:rsidRDefault="003E658B" w:rsidP="001E73F5">
            <w:pPr>
              <w:ind w:left="306"/>
              <w:rPr>
                <w:rFonts w:eastAsia="MS PMincho" w:cs="Times New Roman"/>
                <w:kern w:val="24"/>
                <w:lang w:eastAsia="ja-JP"/>
              </w:rPr>
            </w:pPr>
            <w:r w:rsidRPr="003E658B">
              <w:rPr>
                <w:rFonts w:eastAsia="MS PMincho" w:cs="Times New Roman"/>
                <w:kern w:val="24"/>
                <w:lang w:eastAsia="ja-JP"/>
              </w:rPr>
              <w:t>Teva-perindopril</w:t>
            </w:r>
          </w:p>
        </w:tc>
        <w:tc>
          <w:tcPr>
            <w:tcW w:w="2131" w:type="dxa"/>
            <w:tcBorders>
              <w:top w:val="nil"/>
              <w:left w:val="nil"/>
              <w:bottom w:val="nil"/>
              <w:right w:val="nil"/>
            </w:tcBorders>
          </w:tcPr>
          <w:p w14:paraId="5CAE822E" w14:textId="4A25F710"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2DC503DE" w14:textId="2D83F21C" w:rsidR="003E658B" w:rsidRPr="00700D49" w:rsidRDefault="003E658B"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06D76EEF" w14:textId="77777777" w:rsidTr="00307E40">
        <w:trPr>
          <w:trHeight w:val="239"/>
        </w:trPr>
        <w:tc>
          <w:tcPr>
            <w:tcW w:w="5240" w:type="dxa"/>
            <w:tcBorders>
              <w:top w:val="nil"/>
              <w:left w:val="nil"/>
              <w:bottom w:val="single" w:sz="4" w:space="0" w:color="auto"/>
              <w:right w:val="nil"/>
            </w:tcBorders>
          </w:tcPr>
          <w:p w14:paraId="370F9465" w14:textId="41435D25" w:rsidR="003E658B" w:rsidRDefault="001E73F5" w:rsidP="001E73F5">
            <w:pPr>
              <w:ind w:left="306"/>
              <w:rPr>
                <w:rFonts w:eastAsia="MS PMincho" w:cs="Times New Roman"/>
                <w:kern w:val="24"/>
                <w:lang w:eastAsia="ja-JP"/>
              </w:rPr>
            </w:pPr>
            <w:r w:rsidRPr="001E73F5">
              <w:rPr>
                <w:rFonts w:eastAsia="MS PMincho" w:cs="Times New Roman"/>
                <w:kern w:val="24"/>
                <w:lang w:eastAsia="ja-JP"/>
              </w:rPr>
              <w:t>Ticagrelor/Brilinta</w:t>
            </w:r>
          </w:p>
        </w:tc>
        <w:tc>
          <w:tcPr>
            <w:tcW w:w="2131" w:type="dxa"/>
            <w:tcBorders>
              <w:top w:val="nil"/>
              <w:left w:val="nil"/>
              <w:bottom w:val="single" w:sz="4" w:space="0" w:color="auto"/>
              <w:right w:val="nil"/>
            </w:tcBorders>
          </w:tcPr>
          <w:p w14:paraId="6BBCC121" w14:textId="16539A53" w:rsidR="003E658B" w:rsidRPr="00700D49"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single" w:sz="4" w:space="0" w:color="auto"/>
              <w:right w:val="nil"/>
            </w:tcBorders>
          </w:tcPr>
          <w:p w14:paraId="4349F20B" w14:textId="3F0DFA99" w:rsidR="003E658B" w:rsidRPr="00700D49"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5F277A07" w14:textId="77777777" w:rsidTr="00307E40">
        <w:trPr>
          <w:trHeight w:val="239"/>
        </w:trPr>
        <w:tc>
          <w:tcPr>
            <w:tcW w:w="5240" w:type="dxa"/>
            <w:tcBorders>
              <w:top w:val="single" w:sz="4" w:space="0" w:color="auto"/>
              <w:left w:val="nil"/>
              <w:bottom w:val="nil"/>
              <w:right w:val="nil"/>
            </w:tcBorders>
          </w:tcPr>
          <w:p w14:paraId="046ED4BC" w14:textId="5F218B4D" w:rsidR="003E658B" w:rsidRPr="009F0F4D" w:rsidRDefault="001E73F5" w:rsidP="001E73F5">
            <w:pPr>
              <w:rPr>
                <w:rFonts w:eastAsia="MS PMincho" w:cs="Times New Roman"/>
                <w:kern w:val="24"/>
                <w:lang w:val="en-US" w:eastAsia="ja-JP"/>
              </w:rPr>
            </w:pPr>
            <w:r>
              <w:rPr>
                <w:rFonts w:eastAsia="MS PMincho" w:cs="Times New Roman"/>
                <w:kern w:val="24"/>
                <w:lang w:val="en-US" w:eastAsia="ja-JP"/>
              </w:rPr>
              <w:t>Medication for mental health (e.g., mood, anxiety)</w:t>
            </w:r>
          </w:p>
        </w:tc>
        <w:tc>
          <w:tcPr>
            <w:tcW w:w="2131" w:type="dxa"/>
            <w:tcBorders>
              <w:top w:val="single" w:sz="4" w:space="0" w:color="auto"/>
              <w:left w:val="nil"/>
              <w:bottom w:val="nil"/>
              <w:right w:val="nil"/>
            </w:tcBorders>
          </w:tcPr>
          <w:p w14:paraId="2AE3EE44" w14:textId="4AC74C70" w:rsidR="003E658B" w:rsidRDefault="003E658B" w:rsidP="003E658B">
            <w:pPr>
              <w:jc w:val="center"/>
              <w:rPr>
                <w:rFonts w:eastAsia="MS PMincho" w:cs="Times New Roman"/>
                <w:kern w:val="24"/>
                <w:lang w:eastAsia="ja-JP"/>
              </w:rPr>
            </w:pPr>
          </w:p>
        </w:tc>
        <w:tc>
          <w:tcPr>
            <w:tcW w:w="2410" w:type="dxa"/>
            <w:tcBorders>
              <w:top w:val="single" w:sz="4" w:space="0" w:color="auto"/>
              <w:left w:val="nil"/>
              <w:bottom w:val="nil"/>
              <w:right w:val="nil"/>
            </w:tcBorders>
          </w:tcPr>
          <w:p w14:paraId="05386280" w14:textId="76EBAFE1" w:rsidR="003E658B" w:rsidRDefault="003E658B" w:rsidP="003E658B">
            <w:pPr>
              <w:jc w:val="center"/>
              <w:rPr>
                <w:rFonts w:eastAsia="MS PMincho" w:cs="Times New Roman"/>
                <w:kern w:val="24"/>
                <w:lang w:eastAsia="ja-JP"/>
              </w:rPr>
            </w:pPr>
          </w:p>
        </w:tc>
      </w:tr>
      <w:tr w:rsidR="003E658B" w:rsidRPr="00700D49" w14:paraId="35BC6838" w14:textId="77777777" w:rsidTr="00307E40">
        <w:trPr>
          <w:trHeight w:val="239"/>
        </w:trPr>
        <w:tc>
          <w:tcPr>
            <w:tcW w:w="5240" w:type="dxa"/>
            <w:tcBorders>
              <w:top w:val="nil"/>
              <w:left w:val="nil"/>
              <w:bottom w:val="nil"/>
              <w:right w:val="nil"/>
            </w:tcBorders>
          </w:tcPr>
          <w:p w14:paraId="3ED7EEEA" w14:textId="12936B98" w:rsidR="003E658B" w:rsidRDefault="001E73F5" w:rsidP="001E73F5">
            <w:pPr>
              <w:ind w:firstLine="306"/>
              <w:rPr>
                <w:rFonts w:eastAsia="MS PMincho" w:cs="Times New Roman"/>
                <w:kern w:val="24"/>
                <w:lang w:eastAsia="ja-JP"/>
              </w:rPr>
            </w:pPr>
            <w:r w:rsidRPr="001E73F5">
              <w:rPr>
                <w:rFonts w:eastAsia="MS PMincho" w:cs="Times New Roman"/>
                <w:kern w:val="24"/>
                <w:lang w:eastAsia="ja-JP"/>
              </w:rPr>
              <w:t>Amitriptyline</w:t>
            </w:r>
          </w:p>
        </w:tc>
        <w:tc>
          <w:tcPr>
            <w:tcW w:w="2131" w:type="dxa"/>
            <w:tcBorders>
              <w:top w:val="nil"/>
              <w:left w:val="nil"/>
              <w:bottom w:val="nil"/>
              <w:right w:val="nil"/>
            </w:tcBorders>
          </w:tcPr>
          <w:p w14:paraId="7CF555E7" w14:textId="3C935F17"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6AED8962" w14:textId="7CB3CA05"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1E73F5" w:rsidRPr="00700D49" w14:paraId="70085A92" w14:textId="77777777" w:rsidTr="00307E40">
        <w:trPr>
          <w:trHeight w:val="239"/>
        </w:trPr>
        <w:tc>
          <w:tcPr>
            <w:tcW w:w="5240" w:type="dxa"/>
            <w:tcBorders>
              <w:top w:val="nil"/>
              <w:left w:val="nil"/>
              <w:bottom w:val="nil"/>
              <w:right w:val="nil"/>
            </w:tcBorders>
          </w:tcPr>
          <w:p w14:paraId="220A2340" w14:textId="1E45C3F9" w:rsidR="001E73F5" w:rsidRDefault="001E73F5" w:rsidP="001E73F5">
            <w:pPr>
              <w:ind w:firstLine="306"/>
              <w:rPr>
                <w:rFonts w:eastAsia="MS PMincho" w:cs="Times New Roman"/>
                <w:kern w:val="24"/>
                <w:lang w:eastAsia="ja-JP"/>
              </w:rPr>
            </w:pPr>
            <w:r w:rsidRPr="001E73F5">
              <w:rPr>
                <w:rFonts w:eastAsia="MS PMincho" w:cs="Times New Roman"/>
                <w:kern w:val="24"/>
                <w:lang w:eastAsia="ja-JP"/>
              </w:rPr>
              <w:t>Clonazepam/Klonopin</w:t>
            </w:r>
          </w:p>
        </w:tc>
        <w:tc>
          <w:tcPr>
            <w:tcW w:w="2131" w:type="dxa"/>
            <w:tcBorders>
              <w:top w:val="nil"/>
              <w:left w:val="nil"/>
              <w:bottom w:val="nil"/>
              <w:right w:val="nil"/>
            </w:tcBorders>
          </w:tcPr>
          <w:p w14:paraId="79F7174D" w14:textId="185A2BC3" w:rsidR="001E73F5"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1745E900" w14:textId="61B3C606" w:rsidR="001E73F5"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4B5CE0ED" w14:textId="77777777" w:rsidTr="00307E40">
        <w:trPr>
          <w:trHeight w:val="239"/>
        </w:trPr>
        <w:tc>
          <w:tcPr>
            <w:tcW w:w="5240" w:type="dxa"/>
            <w:tcBorders>
              <w:top w:val="nil"/>
              <w:left w:val="nil"/>
              <w:bottom w:val="nil"/>
              <w:right w:val="nil"/>
            </w:tcBorders>
          </w:tcPr>
          <w:p w14:paraId="0B88E995" w14:textId="75EFF83E" w:rsidR="003E658B" w:rsidRDefault="001E73F5" w:rsidP="001E73F5">
            <w:pPr>
              <w:ind w:firstLine="306"/>
              <w:rPr>
                <w:rFonts w:eastAsia="MS PMincho" w:cs="Times New Roman"/>
                <w:kern w:val="24"/>
                <w:lang w:eastAsia="ja-JP"/>
              </w:rPr>
            </w:pPr>
            <w:r w:rsidRPr="001E73F5">
              <w:rPr>
                <w:rFonts w:eastAsia="MS PMincho" w:cs="Times New Roman"/>
                <w:kern w:val="24"/>
                <w:lang w:eastAsia="ja-JP"/>
              </w:rPr>
              <w:t>Duloxetine/Cymbalta</w:t>
            </w:r>
          </w:p>
        </w:tc>
        <w:tc>
          <w:tcPr>
            <w:tcW w:w="2131" w:type="dxa"/>
            <w:tcBorders>
              <w:top w:val="nil"/>
              <w:left w:val="nil"/>
              <w:bottom w:val="nil"/>
              <w:right w:val="nil"/>
            </w:tcBorders>
          </w:tcPr>
          <w:p w14:paraId="1E75C03D" w14:textId="564D9AC0"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265CA619" w14:textId="48C0D0B6"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050440AF" w14:textId="77777777" w:rsidTr="00307E40">
        <w:trPr>
          <w:trHeight w:val="239"/>
        </w:trPr>
        <w:tc>
          <w:tcPr>
            <w:tcW w:w="5240" w:type="dxa"/>
            <w:tcBorders>
              <w:top w:val="nil"/>
              <w:left w:val="nil"/>
              <w:bottom w:val="nil"/>
              <w:right w:val="nil"/>
            </w:tcBorders>
          </w:tcPr>
          <w:p w14:paraId="00EBE8EC" w14:textId="0828C214" w:rsidR="003E658B" w:rsidRPr="001E73F5" w:rsidRDefault="001E73F5" w:rsidP="001E73F5">
            <w:pPr>
              <w:ind w:firstLine="306"/>
              <w:rPr>
                <w:rFonts w:eastAsia="MS PMincho" w:cs="Times New Roman"/>
                <w:kern w:val="24"/>
                <w:lang w:val="en-US" w:eastAsia="ja-JP"/>
              </w:rPr>
            </w:pPr>
            <w:r w:rsidRPr="001E73F5">
              <w:rPr>
                <w:rFonts w:eastAsia="MS PMincho" w:cs="Times New Roman"/>
                <w:kern w:val="24"/>
                <w:lang w:val="en-US" w:eastAsia="ja-JP"/>
              </w:rPr>
              <w:t>Escitalopram/Cipralex/Lexapro</w:t>
            </w:r>
          </w:p>
        </w:tc>
        <w:tc>
          <w:tcPr>
            <w:tcW w:w="2131" w:type="dxa"/>
            <w:tcBorders>
              <w:top w:val="nil"/>
              <w:left w:val="nil"/>
              <w:bottom w:val="nil"/>
              <w:right w:val="nil"/>
            </w:tcBorders>
          </w:tcPr>
          <w:p w14:paraId="75534F04" w14:textId="7A369974"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180B4FE2" w14:textId="2813AB9D"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5DCC5873" w14:textId="77777777" w:rsidTr="00307E40">
        <w:trPr>
          <w:trHeight w:val="239"/>
        </w:trPr>
        <w:tc>
          <w:tcPr>
            <w:tcW w:w="5240" w:type="dxa"/>
            <w:tcBorders>
              <w:top w:val="nil"/>
              <w:left w:val="nil"/>
              <w:bottom w:val="nil"/>
              <w:right w:val="nil"/>
            </w:tcBorders>
          </w:tcPr>
          <w:p w14:paraId="517B60A3" w14:textId="0A4B3C28" w:rsidR="003E658B" w:rsidRDefault="001E73F5" w:rsidP="001E73F5">
            <w:pPr>
              <w:ind w:firstLine="306"/>
              <w:rPr>
                <w:kern w:val="24"/>
              </w:rPr>
            </w:pPr>
            <w:r w:rsidRPr="001E73F5">
              <w:rPr>
                <w:kern w:val="24"/>
              </w:rPr>
              <w:t>Prochlorazine</w:t>
            </w:r>
          </w:p>
        </w:tc>
        <w:tc>
          <w:tcPr>
            <w:tcW w:w="2131" w:type="dxa"/>
            <w:tcBorders>
              <w:top w:val="nil"/>
              <w:left w:val="nil"/>
              <w:bottom w:val="nil"/>
              <w:right w:val="nil"/>
            </w:tcBorders>
          </w:tcPr>
          <w:p w14:paraId="0537366B" w14:textId="1BA9F1F3"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322F5B3F" w14:textId="15AB632E"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77479463" w14:textId="77777777" w:rsidTr="00307E40">
        <w:trPr>
          <w:trHeight w:val="239"/>
        </w:trPr>
        <w:tc>
          <w:tcPr>
            <w:tcW w:w="5240" w:type="dxa"/>
            <w:tcBorders>
              <w:top w:val="nil"/>
              <w:left w:val="nil"/>
              <w:bottom w:val="nil"/>
              <w:right w:val="nil"/>
            </w:tcBorders>
          </w:tcPr>
          <w:p w14:paraId="465C53D7" w14:textId="599A79E0" w:rsidR="003E658B" w:rsidRDefault="001E73F5" w:rsidP="001E73F5">
            <w:pPr>
              <w:ind w:firstLine="306"/>
              <w:rPr>
                <w:kern w:val="24"/>
              </w:rPr>
            </w:pPr>
            <w:r w:rsidRPr="001E73F5">
              <w:rPr>
                <w:kern w:val="24"/>
              </w:rPr>
              <w:t>Sertraline/Zoloft</w:t>
            </w:r>
          </w:p>
        </w:tc>
        <w:tc>
          <w:tcPr>
            <w:tcW w:w="2131" w:type="dxa"/>
            <w:tcBorders>
              <w:top w:val="nil"/>
              <w:left w:val="nil"/>
              <w:bottom w:val="nil"/>
              <w:right w:val="nil"/>
            </w:tcBorders>
          </w:tcPr>
          <w:p w14:paraId="5F0949BA" w14:textId="34E1BD77" w:rsidR="003E658B" w:rsidRDefault="001E73F5"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025E509F" w14:textId="6B089794" w:rsidR="003E658B" w:rsidRDefault="001E73F5"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08ED2FD0" w14:textId="77777777" w:rsidTr="00307E40">
        <w:trPr>
          <w:trHeight w:val="239"/>
        </w:trPr>
        <w:tc>
          <w:tcPr>
            <w:tcW w:w="5240" w:type="dxa"/>
            <w:tcBorders>
              <w:top w:val="nil"/>
              <w:left w:val="nil"/>
              <w:bottom w:val="single" w:sz="4" w:space="0" w:color="auto"/>
              <w:right w:val="nil"/>
            </w:tcBorders>
          </w:tcPr>
          <w:p w14:paraId="33E74ACC" w14:textId="6D5B938D" w:rsidR="003E658B" w:rsidRDefault="001E73F5" w:rsidP="001E73F5">
            <w:pPr>
              <w:ind w:firstLine="306"/>
              <w:rPr>
                <w:kern w:val="24"/>
              </w:rPr>
            </w:pPr>
            <w:r w:rsidRPr="001E73F5">
              <w:rPr>
                <w:kern w:val="24"/>
              </w:rPr>
              <w:t>Trazadone</w:t>
            </w:r>
          </w:p>
        </w:tc>
        <w:tc>
          <w:tcPr>
            <w:tcW w:w="2131" w:type="dxa"/>
            <w:tcBorders>
              <w:top w:val="nil"/>
              <w:left w:val="nil"/>
              <w:bottom w:val="single" w:sz="4" w:space="0" w:color="auto"/>
              <w:right w:val="nil"/>
            </w:tcBorders>
          </w:tcPr>
          <w:p w14:paraId="4B2D4F39" w14:textId="532E5DFD" w:rsidR="003E658B" w:rsidRDefault="001E73F5"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single" w:sz="4" w:space="0" w:color="auto"/>
              <w:right w:val="nil"/>
            </w:tcBorders>
          </w:tcPr>
          <w:p w14:paraId="244512C1" w14:textId="43ABE7A0" w:rsidR="003E658B" w:rsidRDefault="001E73F5"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4AE6D59C" w14:textId="77777777" w:rsidTr="00307E40">
        <w:trPr>
          <w:trHeight w:val="239"/>
        </w:trPr>
        <w:tc>
          <w:tcPr>
            <w:tcW w:w="5240" w:type="dxa"/>
            <w:tcBorders>
              <w:top w:val="single" w:sz="4" w:space="0" w:color="auto"/>
              <w:left w:val="nil"/>
              <w:bottom w:val="nil"/>
              <w:right w:val="nil"/>
            </w:tcBorders>
          </w:tcPr>
          <w:p w14:paraId="60400B08" w14:textId="75F05F31" w:rsidR="003E658B" w:rsidRDefault="001E73F5" w:rsidP="001E73F5">
            <w:pPr>
              <w:rPr>
                <w:rFonts w:eastAsia="MS PMincho" w:cs="Times New Roman"/>
                <w:kern w:val="24"/>
                <w:lang w:eastAsia="ja-JP"/>
              </w:rPr>
            </w:pPr>
            <w:r>
              <w:rPr>
                <w:rFonts w:eastAsia="MS PMincho" w:cs="Times New Roman"/>
                <w:kern w:val="24"/>
                <w:lang w:eastAsia="ja-JP"/>
              </w:rPr>
              <w:t>Medication for breathing problems</w:t>
            </w:r>
          </w:p>
        </w:tc>
        <w:tc>
          <w:tcPr>
            <w:tcW w:w="2131" w:type="dxa"/>
            <w:tcBorders>
              <w:top w:val="single" w:sz="4" w:space="0" w:color="auto"/>
              <w:left w:val="nil"/>
              <w:bottom w:val="nil"/>
              <w:right w:val="nil"/>
            </w:tcBorders>
          </w:tcPr>
          <w:p w14:paraId="13F414D1" w14:textId="468267CF" w:rsidR="003E658B" w:rsidRDefault="003E658B" w:rsidP="003E658B">
            <w:pPr>
              <w:jc w:val="center"/>
              <w:rPr>
                <w:rFonts w:eastAsia="MS PMincho" w:cs="Times New Roman"/>
                <w:kern w:val="24"/>
                <w:lang w:eastAsia="ja-JP"/>
              </w:rPr>
            </w:pPr>
          </w:p>
        </w:tc>
        <w:tc>
          <w:tcPr>
            <w:tcW w:w="2410" w:type="dxa"/>
            <w:tcBorders>
              <w:top w:val="single" w:sz="4" w:space="0" w:color="auto"/>
              <w:left w:val="nil"/>
              <w:bottom w:val="nil"/>
              <w:right w:val="nil"/>
            </w:tcBorders>
          </w:tcPr>
          <w:p w14:paraId="15CF406A" w14:textId="5C9B225E" w:rsidR="003E658B" w:rsidRDefault="003E658B" w:rsidP="003E658B">
            <w:pPr>
              <w:jc w:val="center"/>
              <w:rPr>
                <w:rFonts w:eastAsia="MS PMincho" w:cs="Times New Roman"/>
                <w:kern w:val="24"/>
                <w:lang w:eastAsia="ja-JP"/>
              </w:rPr>
            </w:pPr>
          </w:p>
        </w:tc>
      </w:tr>
      <w:tr w:rsidR="003E658B" w:rsidRPr="00700D49" w14:paraId="1B234652" w14:textId="77777777" w:rsidTr="00307E40">
        <w:trPr>
          <w:trHeight w:val="239"/>
        </w:trPr>
        <w:tc>
          <w:tcPr>
            <w:tcW w:w="5240" w:type="dxa"/>
            <w:tcBorders>
              <w:top w:val="nil"/>
              <w:left w:val="nil"/>
              <w:bottom w:val="nil"/>
              <w:right w:val="nil"/>
            </w:tcBorders>
          </w:tcPr>
          <w:p w14:paraId="20E66EAB" w14:textId="515C1107" w:rsidR="003E658B" w:rsidRPr="009F0F4D" w:rsidRDefault="001E73F5" w:rsidP="003E658B">
            <w:pPr>
              <w:ind w:firstLine="306"/>
              <w:rPr>
                <w:rFonts w:eastAsia="MS PMincho" w:cs="Times New Roman"/>
                <w:kern w:val="24"/>
                <w:lang w:val="en-US" w:eastAsia="ja-JP"/>
              </w:rPr>
            </w:pPr>
            <w:r w:rsidRPr="001E73F5">
              <w:rPr>
                <w:rFonts w:eastAsia="MS PMincho" w:cs="Times New Roman"/>
                <w:kern w:val="24"/>
                <w:lang w:val="en-US" w:eastAsia="ja-JP"/>
              </w:rPr>
              <w:t>Apo-Salvent</w:t>
            </w:r>
          </w:p>
        </w:tc>
        <w:tc>
          <w:tcPr>
            <w:tcW w:w="2131" w:type="dxa"/>
            <w:tcBorders>
              <w:top w:val="nil"/>
              <w:left w:val="nil"/>
              <w:bottom w:val="nil"/>
              <w:right w:val="nil"/>
            </w:tcBorders>
          </w:tcPr>
          <w:p w14:paraId="4330524A" w14:textId="7A534992" w:rsidR="003E658B" w:rsidRDefault="001E73F5" w:rsidP="003E658B">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2FD1B541" w14:textId="004CBFE1" w:rsidR="003E658B" w:rsidRDefault="001E73F5" w:rsidP="003E658B">
            <w:pPr>
              <w:jc w:val="center"/>
              <w:rPr>
                <w:rFonts w:eastAsia="MS PMincho" w:cs="Times New Roman"/>
                <w:kern w:val="24"/>
                <w:lang w:eastAsia="ja-JP"/>
              </w:rPr>
            </w:pPr>
            <w:r>
              <w:rPr>
                <w:rFonts w:eastAsia="MS PMincho" w:cs="Times New Roman"/>
                <w:kern w:val="24"/>
                <w:lang w:eastAsia="ja-JP"/>
              </w:rPr>
              <w:t>0</w:t>
            </w:r>
          </w:p>
        </w:tc>
      </w:tr>
      <w:tr w:rsidR="003E658B" w:rsidRPr="00700D49" w14:paraId="6D6E8AED" w14:textId="77777777" w:rsidTr="00307E40">
        <w:trPr>
          <w:trHeight w:val="239"/>
        </w:trPr>
        <w:tc>
          <w:tcPr>
            <w:tcW w:w="5240" w:type="dxa"/>
            <w:tcBorders>
              <w:top w:val="nil"/>
              <w:left w:val="nil"/>
              <w:bottom w:val="nil"/>
              <w:right w:val="nil"/>
            </w:tcBorders>
          </w:tcPr>
          <w:p w14:paraId="5550C388" w14:textId="056ED454" w:rsidR="003E658B" w:rsidRDefault="001E73F5" w:rsidP="003E658B">
            <w:pPr>
              <w:ind w:firstLine="306"/>
              <w:rPr>
                <w:rFonts w:eastAsia="MS PMincho" w:cs="Times New Roman"/>
                <w:kern w:val="24"/>
                <w:lang w:eastAsia="ja-JP"/>
              </w:rPr>
            </w:pPr>
            <w:r w:rsidRPr="001E73F5">
              <w:rPr>
                <w:rFonts w:eastAsia="MS PMincho" w:cs="Times New Roman"/>
                <w:kern w:val="24"/>
                <w:lang w:eastAsia="ja-JP"/>
              </w:rPr>
              <w:t>Budesonide/Pulmicort</w:t>
            </w:r>
          </w:p>
        </w:tc>
        <w:tc>
          <w:tcPr>
            <w:tcW w:w="2131" w:type="dxa"/>
            <w:tcBorders>
              <w:top w:val="nil"/>
              <w:left w:val="nil"/>
              <w:bottom w:val="nil"/>
              <w:right w:val="nil"/>
            </w:tcBorders>
          </w:tcPr>
          <w:p w14:paraId="166A0A4E" w14:textId="683A535C"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7D1A1A44" w14:textId="395EAE2D"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3E658B" w:rsidRPr="00700D49" w14:paraId="116FC44E" w14:textId="77777777" w:rsidTr="00307E40">
        <w:trPr>
          <w:trHeight w:val="239"/>
        </w:trPr>
        <w:tc>
          <w:tcPr>
            <w:tcW w:w="5240" w:type="dxa"/>
            <w:tcBorders>
              <w:top w:val="nil"/>
              <w:left w:val="nil"/>
              <w:bottom w:val="nil"/>
              <w:right w:val="nil"/>
            </w:tcBorders>
          </w:tcPr>
          <w:p w14:paraId="042BFE1C" w14:textId="522CF5C0" w:rsidR="003E658B" w:rsidRDefault="001E73F5" w:rsidP="003E658B">
            <w:pPr>
              <w:ind w:firstLine="306"/>
              <w:rPr>
                <w:rFonts w:eastAsia="MS PMincho" w:cs="Times New Roman"/>
                <w:kern w:val="24"/>
                <w:lang w:eastAsia="ja-JP"/>
              </w:rPr>
            </w:pPr>
            <w:r w:rsidRPr="001E73F5">
              <w:rPr>
                <w:rFonts w:eastAsia="MS PMincho" w:cs="Times New Roman"/>
                <w:kern w:val="24"/>
                <w:lang w:eastAsia="ja-JP"/>
              </w:rPr>
              <w:t>Fluticasone</w:t>
            </w:r>
          </w:p>
        </w:tc>
        <w:tc>
          <w:tcPr>
            <w:tcW w:w="2131" w:type="dxa"/>
            <w:tcBorders>
              <w:top w:val="nil"/>
              <w:left w:val="nil"/>
              <w:bottom w:val="nil"/>
              <w:right w:val="nil"/>
            </w:tcBorders>
          </w:tcPr>
          <w:p w14:paraId="26C0261B" w14:textId="209CD667" w:rsidR="003E658B" w:rsidRDefault="001E73F5" w:rsidP="003E658B">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34829A8C" w14:textId="66C547C1" w:rsidR="003E658B" w:rsidRDefault="001E73F5" w:rsidP="003E658B">
            <w:pPr>
              <w:jc w:val="center"/>
              <w:rPr>
                <w:rFonts w:eastAsia="MS PMincho" w:cs="Times New Roman"/>
                <w:kern w:val="24"/>
                <w:lang w:eastAsia="ja-JP"/>
              </w:rPr>
            </w:pPr>
            <w:r>
              <w:rPr>
                <w:rFonts w:eastAsia="MS PMincho" w:cs="Times New Roman"/>
                <w:kern w:val="24"/>
                <w:lang w:eastAsia="ja-JP"/>
              </w:rPr>
              <w:t>1</w:t>
            </w:r>
          </w:p>
        </w:tc>
      </w:tr>
      <w:tr w:rsidR="001E73F5" w:rsidRPr="00700D49" w14:paraId="7F37A6B3" w14:textId="77777777" w:rsidTr="00307E40">
        <w:trPr>
          <w:trHeight w:val="239"/>
        </w:trPr>
        <w:tc>
          <w:tcPr>
            <w:tcW w:w="5240" w:type="dxa"/>
            <w:tcBorders>
              <w:top w:val="nil"/>
              <w:left w:val="nil"/>
              <w:bottom w:val="single" w:sz="4" w:space="0" w:color="auto"/>
              <w:right w:val="nil"/>
            </w:tcBorders>
          </w:tcPr>
          <w:p w14:paraId="276AF5DB" w14:textId="00ACA56F" w:rsidR="001E73F5" w:rsidRPr="009F0F4D" w:rsidRDefault="001E73F5" w:rsidP="001E73F5">
            <w:pPr>
              <w:ind w:firstLine="306"/>
              <w:rPr>
                <w:rFonts w:eastAsia="MS PMincho" w:cs="Times New Roman"/>
                <w:kern w:val="24"/>
                <w:lang w:eastAsia="ja-JP"/>
              </w:rPr>
            </w:pPr>
            <w:r w:rsidRPr="001E73F5">
              <w:rPr>
                <w:rFonts w:eastAsia="MS PMincho" w:cs="Times New Roman"/>
                <w:kern w:val="24"/>
                <w:lang w:eastAsia="ja-JP"/>
              </w:rPr>
              <w:t>Zenhale</w:t>
            </w:r>
          </w:p>
        </w:tc>
        <w:tc>
          <w:tcPr>
            <w:tcW w:w="2131" w:type="dxa"/>
            <w:tcBorders>
              <w:top w:val="nil"/>
              <w:left w:val="nil"/>
              <w:bottom w:val="single" w:sz="4" w:space="0" w:color="auto"/>
              <w:right w:val="nil"/>
            </w:tcBorders>
          </w:tcPr>
          <w:p w14:paraId="4D66A19C" w14:textId="3BD9E910" w:rsidR="001E73F5" w:rsidRDefault="001E73F5"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single" w:sz="4" w:space="0" w:color="auto"/>
              <w:right w:val="nil"/>
            </w:tcBorders>
          </w:tcPr>
          <w:p w14:paraId="7552A959" w14:textId="31CED4C5"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198F931B" w14:textId="77777777" w:rsidTr="00307E40">
        <w:trPr>
          <w:trHeight w:val="239"/>
        </w:trPr>
        <w:tc>
          <w:tcPr>
            <w:tcW w:w="5240" w:type="dxa"/>
            <w:tcBorders>
              <w:top w:val="single" w:sz="4" w:space="0" w:color="auto"/>
              <w:left w:val="nil"/>
              <w:bottom w:val="nil"/>
              <w:right w:val="nil"/>
            </w:tcBorders>
          </w:tcPr>
          <w:p w14:paraId="2E28629C" w14:textId="486E36B8" w:rsidR="001E73F5" w:rsidRDefault="001E73F5" w:rsidP="001E73F5">
            <w:pPr>
              <w:rPr>
                <w:kern w:val="24"/>
              </w:rPr>
            </w:pPr>
            <w:r>
              <w:rPr>
                <w:kern w:val="24"/>
              </w:rPr>
              <w:t>Medication for immune system</w:t>
            </w:r>
          </w:p>
        </w:tc>
        <w:tc>
          <w:tcPr>
            <w:tcW w:w="2131" w:type="dxa"/>
            <w:tcBorders>
              <w:top w:val="single" w:sz="4" w:space="0" w:color="auto"/>
              <w:left w:val="nil"/>
              <w:bottom w:val="nil"/>
              <w:right w:val="nil"/>
            </w:tcBorders>
          </w:tcPr>
          <w:p w14:paraId="5E5BD183" w14:textId="5AFBC83C" w:rsidR="001E73F5" w:rsidRDefault="001E73F5" w:rsidP="001E73F5">
            <w:pPr>
              <w:jc w:val="center"/>
              <w:rPr>
                <w:rFonts w:eastAsia="MS PMincho" w:cs="Times New Roman"/>
                <w:kern w:val="24"/>
                <w:lang w:eastAsia="ja-JP"/>
              </w:rPr>
            </w:pPr>
          </w:p>
        </w:tc>
        <w:tc>
          <w:tcPr>
            <w:tcW w:w="2410" w:type="dxa"/>
            <w:tcBorders>
              <w:top w:val="single" w:sz="4" w:space="0" w:color="auto"/>
              <w:left w:val="nil"/>
              <w:bottom w:val="nil"/>
              <w:right w:val="nil"/>
            </w:tcBorders>
          </w:tcPr>
          <w:p w14:paraId="03817C70" w14:textId="6F278A91" w:rsidR="001E73F5" w:rsidRDefault="001E73F5" w:rsidP="001E73F5">
            <w:pPr>
              <w:jc w:val="center"/>
              <w:rPr>
                <w:rFonts w:eastAsia="MS PMincho" w:cs="Times New Roman"/>
                <w:kern w:val="24"/>
                <w:lang w:eastAsia="ja-JP"/>
              </w:rPr>
            </w:pPr>
          </w:p>
        </w:tc>
      </w:tr>
      <w:tr w:rsidR="001E73F5" w:rsidRPr="00700D49" w14:paraId="5447153D" w14:textId="77777777" w:rsidTr="00307E40">
        <w:trPr>
          <w:trHeight w:val="239"/>
        </w:trPr>
        <w:tc>
          <w:tcPr>
            <w:tcW w:w="5240" w:type="dxa"/>
            <w:tcBorders>
              <w:top w:val="nil"/>
              <w:left w:val="nil"/>
              <w:bottom w:val="nil"/>
              <w:right w:val="nil"/>
            </w:tcBorders>
          </w:tcPr>
          <w:p w14:paraId="5BABEDB3" w14:textId="53C89B29" w:rsidR="001E73F5" w:rsidRDefault="001E73F5" w:rsidP="001E73F5">
            <w:pPr>
              <w:ind w:firstLine="306"/>
              <w:rPr>
                <w:kern w:val="24"/>
              </w:rPr>
            </w:pPr>
            <w:r w:rsidRPr="001E73F5">
              <w:rPr>
                <w:kern w:val="24"/>
              </w:rPr>
              <w:t>Apo-azathioprine</w:t>
            </w:r>
          </w:p>
        </w:tc>
        <w:tc>
          <w:tcPr>
            <w:tcW w:w="2131" w:type="dxa"/>
            <w:tcBorders>
              <w:top w:val="nil"/>
              <w:left w:val="nil"/>
              <w:bottom w:val="nil"/>
              <w:right w:val="nil"/>
            </w:tcBorders>
          </w:tcPr>
          <w:p w14:paraId="6DCAC531" w14:textId="426CA8A9"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16FBC87D" w14:textId="75CC18B2" w:rsidR="001E73F5" w:rsidRDefault="00C6124E"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65E380CE" w14:textId="77777777" w:rsidTr="00307E40">
        <w:trPr>
          <w:trHeight w:val="239"/>
        </w:trPr>
        <w:tc>
          <w:tcPr>
            <w:tcW w:w="5240" w:type="dxa"/>
            <w:tcBorders>
              <w:top w:val="nil"/>
              <w:left w:val="nil"/>
              <w:bottom w:val="nil"/>
              <w:right w:val="nil"/>
            </w:tcBorders>
          </w:tcPr>
          <w:p w14:paraId="0CFC3EB9" w14:textId="1DFFFFAF" w:rsidR="001E73F5" w:rsidRDefault="001E73F5" w:rsidP="004828D7">
            <w:pPr>
              <w:ind w:firstLine="315"/>
              <w:rPr>
                <w:kern w:val="24"/>
              </w:rPr>
            </w:pPr>
            <w:r w:rsidRPr="001E73F5">
              <w:rPr>
                <w:kern w:val="24"/>
              </w:rPr>
              <w:t>Celebrex</w:t>
            </w:r>
          </w:p>
        </w:tc>
        <w:tc>
          <w:tcPr>
            <w:tcW w:w="2131" w:type="dxa"/>
            <w:tcBorders>
              <w:top w:val="nil"/>
              <w:left w:val="nil"/>
              <w:bottom w:val="nil"/>
              <w:right w:val="nil"/>
            </w:tcBorders>
          </w:tcPr>
          <w:p w14:paraId="43FEF1A2" w14:textId="5D8F30E3" w:rsidR="001E73F5" w:rsidRDefault="001E73F5"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2688B70F" w14:textId="31DC5D00" w:rsidR="001E73F5" w:rsidRDefault="00C6124E"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4FF663BB" w14:textId="77777777" w:rsidTr="00307E40">
        <w:trPr>
          <w:trHeight w:val="239"/>
        </w:trPr>
        <w:tc>
          <w:tcPr>
            <w:tcW w:w="5240" w:type="dxa"/>
            <w:tcBorders>
              <w:top w:val="nil"/>
              <w:left w:val="nil"/>
              <w:bottom w:val="nil"/>
              <w:right w:val="nil"/>
            </w:tcBorders>
          </w:tcPr>
          <w:p w14:paraId="5E62A1E9" w14:textId="3298A9F9" w:rsidR="001E73F5" w:rsidRDefault="001E73F5" w:rsidP="001E73F5">
            <w:pPr>
              <w:ind w:firstLine="306"/>
              <w:rPr>
                <w:rFonts w:eastAsia="MS PMincho" w:cs="Times New Roman"/>
                <w:kern w:val="24"/>
                <w:lang w:eastAsia="ja-JP"/>
              </w:rPr>
            </w:pPr>
            <w:r w:rsidRPr="001E73F5">
              <w:rPr>
                <w:rFonts w:eastAsia="MS PMincho" w:cs="Times New Roman"/>
                <w:kern w:val="24"/>
                <w:lang w:eastAsia="ja-JP"/>
              </w:rPr>
              <w:t>Meloxicam</w:t>
            </w:r>
          </w:p>
        </w:tc>
        <w:tc>
          <w:tcPr>
            <w:tcW w:w="2131" w:type="dxa"/>
            <w:tcBorders>
              <w:top w:val="nil"/>
              <w:left w:val="nil"/>
              <w:bottom w:val="nil"/>
              <w:right w:val="nil"/>
            </w:tcBorders>
          </w:tcPr>
          <w:p w14:paraId="08EA5B30" w14:textId="595357F8"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21B8F75D" w14:textId="6DE8980C" w:rsidR="001E73F5" w:rsidRDefault="00C6124E"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0E95EED8" w14:textId="77777777" w:rsidTr="00307E40">
        <w:trPr>
          <w:trHeight w:val="239"/>
        </w:trPr>
        <w:tc>
          <w:tcPr>
            <w:tcW w:w="5240" w:type="dxa"/>
            <w:tcBorders>
              <w:top w:val="nil"/>
              <w:left w:val="nil"/>
              <w:bottom w:val="nil"/>
              <w:right w:val="nil"/>
            </w:tcBorders>
          </w:tcPr>
          <w:p w14:paraId="3434E54A" w14:textId="521F9E2A" w:rsidR="001E73F5" w:rsidRPr="009F0F4D" w:rsidRDefault="001E73F5" w:rsidP="001E73F5">
            <w:pPr>
              <w:ind w:firstLine="306"/>
              <w:rPr>
                <w:rFonts w:eastAsia="MS PMincho" w:cs="Times New Roman"/>
                <w:kern w:val="24"/>
                <w:lang w:val="en-US" w:eastAsia="ja-JP"/>
              </w:rPr>
            </w:pPr>
            <w:r w:rsidRPr="001E73F5">
              <w:rPr>
                <w:rFonts w:eastAsia="MS PMincho" w:cs="Times New Roman"/>
                <w:kern w:val="24"/>
                <w:lang w:val="en-US" w:eastAsia="ja-JP"/>
              </w:rPr>
              <w:t>Cyclosporine</w:t>
            </w:r>
          </w:p>
        </w:tc>
        <w:tc>
          <w:tcPr>
            <w:tcW w:w="2131" w:type="dxa"/>
            <w:tcBorders>
              <w:top w:val="nil"/>
              <w:left w:val="nil"/>
              <w:bottom w:val="nil"/>
              <w:right w:val="nil"/>
            </w:tcBorders>
          </w:tcPr>
          <w:p w14:paraId="6C4D1BCD" w14:textId="6D62A753"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65307218" w14:textId="0F1DF667" w:rsidR="001E73F5" w:rsidRDefault="00C6124E"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234F53FD" w14:textId="77777777" w:rsidTr="00307E40">
        <w:trPr>
          <w:trHeight w:val="239"/>
        </w:trPr>
        <w:tc>
          <w:tcPr>
            <w:tcW w:w="5240" w:type="dxa"/>
            <w:tcBorders>
              <w:top w:val="nil"/>
              <w:left w:val="nil"/>
              <w:bottom w:val="single" w:sz="4" w:space="0" w:color="auto"/>
              <w:right w:val="nil"/>
            </w:tcBorders>
          </w:tcPr>
          <w:p w14:paraId="04BC3761" w14:textId="578CF75F" w:rsidR="001E73F5" w:rsidRDefault="001E73F5" w:rsidP="001E73F5">
            <w:pPr>
              <w:ind w:firstLine="306"/>
              <w:rPr>
                <w:rFonts w:eastAsia="MS PMincho" w:cs="Times New Roman"/>
                <w:kern w:val="24"/>
                <w:lang w:eastAsia="ja-JP"/>
              </w:rPr>
            </w:pPr>
            <w:r w:rsidRPr="001E73F5">
              <w:rPr>
                <w:rFonts w:eastAsia="MS PMincho" w:cs="Times New Roman"/>
                <w:kern w:val="24"/>
                <w:lang w:eastAsia="ja-JP"/>
              </w:rPr>
              <w:lastRenderedPageBreak/>
              <w:t>Naproxen/Aleve/Apronax</w:t>
            </w:r>
          </w:p>
        </w:tc>
        <w:tc>
          <w:tcPr>
            <w:tcW w:w="2131" w:type="dxa"/>
            <w:tcBorders>
              <w:top w:val="nil"/>
              <w:left w:val="nil"/>
              <w:bottom w:val="single" w:sz="4" w:space="0" w:color="auto"/>
              <w:right w:val="nil"/>
            </w:tcBorders>
          </w:tcPr>
          <w:p w14:paraId="43A52907" w14:textId="7CB9FA02"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single" w:sz="4" w:space="0" w:color="auto"/>
              <w:right w:val="nil"/>
            </w:tcBorders>
          </w:tcPr>
          <w:p w14:paraId="3223D280" w14:textId="0B829295" w:rsidR="001E73F5" w:rsidRDefault="00C6124E"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16664BA8" w14:textId="77777777" w:rsidTr="00307E40">
        <w:trPr>
          <w:trHeight w:val="239"/>
        </w:trPr>
        <w:tc>
          <w:tcPr>
            <w:tcW w:w="5240" w:type="dxa"/>
            <w:tcBorders>
              <w:top w:val="single" w:sz="4" w:space="0" w:color="auto"/>
              <w:left w:val="nil"/>
              <w:bottom w:val="nil"/>
              <w:right w:val="nil"/>
            </w:tcBorders>
          </w:tcPr>
          <w:p w14:paraId="47B3A3DA" w14:textId="11D25B2F" w:rsidR="001E73F5" w:rsidRDefault="00C6124E" w:rsidP="00C6124E">
            <w:pPr>
              <w:rPr>
                <w:rFonts w:eastAsia="MS PMincho" w:cs="Times New Roman"/>
                <w:kern w:val="24"/>
                <w:lang w:eastAsia="ja-JP"/>
              </w:rPr>
            </w:pPr>
            <w:r>
              <w:rPr>
                <w:rFonts w:eastAsia="MS PMincho" w:cs="Times New Roman"/>
                <w:kern w:val="24"/>
                <w:lang w:eastAsia="ja-JP"/>
              </w:rPr>
              <w:t>Medication for diabetes</w:t>
            </w:r>
          </w:p>
        </w:tc>
        <w:tc>
          <w:tcPr>
            <w:tcW w:w="2131" w:type="dxa"/>
            <w:tcBorders>
              <w:top w:val="single" w:sz="4" w:space="0" w:color="auto"/>
              <w:left w:val="nil"/>
              <w:bottom w:val="nil"/>
              <w:right w:val="nil"/>
            </w:tcBorders>
          </w:tcPr>
          <w:p w14:paraId="51A1B4B1" w14:textId="09D26D48" w:rsidR="001E73F5" w:rsidRDefault="001E73F5" w:rsidP="001E73F5">
            <w:pPr>
              <w:jc w:val="center"/>
              <w:rPr>
                <w:rFonts w:eastAsia="MS PMincho" w:cs="Times New Roman"/>
                <w:kern w:val="24"/>
                <w:lang w:eastAsia="ja-JP"/>
              </w:rPr>
            </w:pPr>
          </w:p>
        </w:tc>
        <w:tc>
          <w:tcPr>
            <w:tcW w:w="2410" w:type="dxa"/>
            <w:tcBorders>
              <w:top w:val="single" w:sz="4" w:space="0" w:color="auto"/>
              <w:left w:val="nil"/>
              <w:bottom w:val="nil"/>
              <w:right w:val="nil"/>
            </w:tcBorders>
          </w:tcPr>
          <w:p w14:paraId="439DC39E" w14:textId="3D809B4B" w:rsidR="001E73F5" w:rsidRDefault="001E73F5" w:rsidP="001E73F5">
            <w:pPr>
              <w:jc w:val="center"/>
              <w:rPr>
                <w:rFonts w:eastAsia="MS PMincho" w:cs="Times New Roman"/>
                <w:kern w:val="24"/>
                <w:lang w:eastAsia="ja-JP"/>
              </w:rPr>
            </w:pPr>
          </w:p>
        </w:tc>
      </w:tr>
      <w:tr w:rsidR="00C6124E" w:rsidRPr="00700D49" w14:paraId="19FD6D79" w14:textId="77777777" w:rsidTr="00307E40">
        <w:trPr>
          <w:trHeight w:val="239"/>
        </w:trPr>
        <w:tc>
          <w:tcPr>
            <w:tcW w:w="5240" w:type="dxa"/>
            <w:tcBorders>
              <w:top w:val="nil"/>
              <w:left w:val="nil"/>
              <w:bottom w:val="nil"/>
              <w:right w:val="nil"/>
            </w:tcBorders>
          </w:tcPr>
          <w:p w14:paraId="239FB8EE" w14:textId="3B7E3B9A" w:rsidR="00C6124E" w:rsidRDefault="00C6124E" w:rsidP="001E73F5">
            <w:pPr>
              <w:ind w:firstLine="306"/>
              <w:rPr>
                <w:rFonts w:eastAsia="MS PMincho" w:cs="Times New Roman"/>
                <w:kern w:val="24"/>
                <w:lang w:eastAsia="ja-JP"/>
              </w:rPr>
            </w:pPr>
            <w:r w:rsidRPr="00C6124E">
              <w:rPr>
                <w:rFonts w:eastAsia="MS PMincho" w:cs="Times New Roman"/>
                <w:kern w:val="24"/>
                <w:lang w:eastAsia="ja-JP"/>
              </w:rPr>
              <w:t>Dapagliflozin / Forxiga</w:t>
            </w:r>
          </w:p>
        </w:tc>
        <w:tc>
          <w:tcPr>
            <w:tcW w:w="2131" w:type="dxa"/>
            <w:tcBorders>
              <w:top w:val="nil"/>
              <w:left w:val="nil"/>
              <w:bottom w:val="nil"/>
              <w:right w:val="nil"/>
            </w:tcBorders>
          </w:tcPr>
          <w:p w14:paraId="418658C7" w14:textId="5C0AB93A" w:rsidR="00C6124E" w:rsidRDefault="00C6124E"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5A08ADB9" w14:textId="09847920" w:rsidR="00C6124E" w:rsidRDefault="00C6124E" w:rsidP="001E73F5">
            <w:pPr>
              <w:jc w:val="center"/>
              <w:rPr>
                <w:rFonts w:eastAsia="MS PMincho" w:cs="Times New Roman"/>
                <w:kern w:val="24"/>
                <w:lang w:eastAsia="ja-JP"/>
              </w:rPr>
            </w:pPr>
            <w:r>
              <w:rPr>
                <w:rFonts w:eastAsia="MS PMincho" w:cs="Times New Roman"/>
                <w:kern w:val="24"/>
                <w:lang w:eastAsia="ja-JP"/>
              </w:rPr>
              <w:t>0</w:t>
            </w:r>
          </w:p>
        </w:tc>
      </w:tr>
      <w:tr w:rsidR="00C6124E" w:rsidRPr="00700D49" w14:paraId="7502E52C" w14:textId="77777777" w:rsidTr="00307E40">
        <w:trPr>
          <w:trHeight w:val="239"/>
        </w:trPr>
        <w:tc>
          <w:tcPr>
            <w:tcW w:w="5240" w:type="dxa"/>
            <w:tcBorders>
              <w:top w:val="nil"/>
              <w:left w:val="nil"/>
              <w:bottom w:val="nil"/>
              <w:right w:val="nil"/>
            </w:tcBorders>
          </w:tcPr>
          <w:p w14:paraId="2A561A53" w14:textId="530CE0B6" w:rsidR="00C6124E" w:rsidRDefault="00C6124E" w:rsidP="001E73F5">
            <w:pPr>
              <w:ind w:firstLine="306"/>
              <w:rPr>
                <w:rFonts w:eastAsia="MS PMincho" w:cs="Times New Roman"/>
                <w:kern w:val="24"/>
                <w:lang w:eastAsia="ja-JP"/>
              </w:rPr>
            </w:pPr>
            <w:r w:rsidRPr="00C6124E">
              <w:rPr>
                <w:rFonts w:eastAsia="MS PMincho" w:cs="Times New Roman"/>
                <w:kern w:val="24"/>
                <w:lang w:eastAsia="ja-JP"/>
              </w:rPr>
              <w:t>Janumet/Sitagliptin/Metformin</w:t>
            </w:r>
          </w:p>
        </w:tc>
        <w:tc>
          <w:tcPr>
            <w:tcW w:w="2131" w:type="dxa"/>
            <w:tcBorders>
              <w:top w:val="nil"/>
              <w:left w:val="nil"/>
              <w:bottom w:val="nil"/>
              <w:right w:val="nil"/>
            </w:tcBorders>
          </w:tcPr>
          <w:p w14:paraId="443CB699" w14:textId="2270D21E" w:rsidR="00C6124E" w:rsidRDefault="00C6124E" w:rsidP="001E73F5">
            <w:pPr>
              <w:jc w:val="center"/>
              <w:rPr>
                <w:rFonts w:eastAsia="MS PMincho" w:cs="Times New Roman"/>
                <w:kern w:val="24"/>
                <w:lang w:eastAsia="ja-JP"/>
              </w:rPr>
            </w:pPr>
            <w:r>
              <w:rPr>
                <w:rFonts w:eastAsia="MS PMincho" w:cs="Times New Roman"/>
                <w:kern w:val="24"/>
                <w:lang w:eastAsia="ja-JP"/>
              </w:rPr>
              <w:t>2</w:t>
            </w:r>
          </w:p>
        </w:tc>
        <w:tc>
          <w:tcPr>
            <w:tcW w:w="2410" w:type="dxa"/>
            <w:tcBorders>
              <w:top w:val="nil"/>
              <w:left w:val="nil"/>
              <w:bottom w:val="nil"/>
              <w:right w:val="nil"/>
            </w:tcBorders>
          </w:tcPr>
          <w:p w14:paraId="6835DA41" w14:textId="3A2768A3" w:rsidR="00C6124E" w:rsidRDefault="00C6124E" w:rsidP="001E73F5">
            <w:pPr>
              <w:jc w:val="center"/>
              <w:rPr>
                <w:rFonts w:eastAsia="MS PMincho" w:cs="Times New Roman"/>
                <w:kern w:val="24"/>
                <w:lang w:eastAsia="ja-JP"/>
              </w:rPr>
            </w:pPr>
            <w:r>
              <w:rPr>
                <w:rFonts w:eastAsia="MS PMincho" w:cs="Times New Roman"/>
                <w:kern w:val="24"/>
                <w:lang w:eastAsia="ja-JP"/>
              </w:rPr>
              <w:t>1</w:t>
            </w:r>
          </w:p>
        </w:tc>
      </w:tr>
      <w:tr w:rsidR="00C6124E" w:rsidRPr="00700D49" w14:paraId="635ED50B" w14:textId="77777777" w:rsidTr="00307E40">
        <w:trPr>
          <w:trHeight w:val="239"/>
        </w:trPr>
        <w:tc>
          <w:tcPr>
            <w:tcW w:w="5240" w:type="dxa"/>
            <w:tcBorders>
              <w:top w:val="nil"/>
              <w:left w:val="nil"/>
              <w:bottom w:val="single" w:sz="4" w:space="0" w:color="auto"/>
              <w:right w:val="nil"/>
            </w:tcBorders>
          </w:tcPr>
          <w:p w14:paraId="2B2237BD" w14:textId="257D8958" w:rsidR="00C6124E" w:rsidRDefault="00C6124E" w:rsidP="001E73F5">
            <w:pPr>
              <w:ind w:firstLine="306"/>
              <w:rPr>
                <w:rFonts w:eastAsia="MS PMincho" w:cs="Times New Roman"/>
                <w:kern w:val="24"/>
                <w:lang w:eastAsia="ja-JP"/>
              </w:rPr>
            </w:pPr>
            <w:r w:rsidRPr="00C6124E">
              <w:rPr>
                <w:rFonts w:eastAsia="MS PMincho" w:cs="Times New Roman"/>
                <w:kern w:val="24"/>
                <w:lang w:eastAsia="ja-JP"/>
              </w:rPr>
              <w:t>Ratio-Metformin</w:t>
            </w:r>
          </w:p>
        </w:tc>
        <w:tc>
          <w:tcPr>
            <w:tcW w:w="2131" w:type="dxa"/>
            <w:tcBorders>
              <w:top w:val="nil"/>
              <w:left w:val="nil"/>
              <w:bottom w:val="single" w:sz="4" w:space="0" w:color="auto"/>
              <w:right w:val="nil"/>
            </w:tcBorders>
          </w:tcPr>
          <w:p w14:paraId="5AC122ED" w14:textId="5D399FE4" w:rsidR="00C6124E" w:rsidRDefault="00C6124E"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single" w:sz="4" w:space="0" w:color="auto"/>
              <w:right w:val="nil"/>
            </w:tcBorders>
          </w:tcPr>
          <w:p w14:paraId="3E65D310" w14:textId="14E60EE8" w:rsidR="00C6124E" w:rsidRDefault="00C6124E"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189D4C42" w14:textId="77777777" w:rsidTr="00307E40">
        <w:trPr>
          <w:trHeight w:val="239"/>
        </w:trPr>
        <w:tc>
          <w:tcPr>
            <w:tcW w:w="5240" w:type="dxa"/>
            <w:tcBorders>
              <w:top w:val="single" w:sz="4" w:space="0" w:color="auto"/>
              <w:left w:val="nil"/>
              <w:bottom w:val="nil"/>
              <w:right w:val="nil"/>
            </w:tcBorders>
          </w:tcPr>
          <w:p w14:paraId="7A5C0DD9" w14:textId="3255EB0F" w:rsidR="001E73F5" w:rsidRPr="009F0F4D" w:rsidRDefault="001E73F5" w:rsidP="001E73F5">
            <w:pPr>
              <w:rPr>
                <w:rFonts w:eastAsia="MS PMincho" w:cs="Times New Roman"/>
                <w:kern w:val="24"/>
                <w:lang w:eastAsia="ja-JP"/>
              </w:rPr>
            </w:pPr>
            <w:r>
              <w:rPr>
                <w:kern w:val="24"/>
              </w:rPr>
              <w:t>Medication for cholesterol</w:t>
            </w:r>
          </w:p>
        </w:tc>
        <w:tc>
          <w:tcPr>
            <w:tcW w:w="2131" w:type="dxa"/>
            <w:tcBorders>
              <w:top w:val="single" w:sz="4" w:space="0" w:color="auto"/>
              <w:left w:val="nil"/>
              <w:bottom w:val="nil"/>
              <w:right w:val="nil"/>
            </w:tcBorders>
          </w:tcPr>
          <w:p w14:paraId="388C25D5" w14:textId="4FCA7D7F" w:rsidR="001E73F5" w:rsidRDefault="001E73F5" w:rsidP="001E73F5">
            <w:pPr>
              <w:jc w:val="center"/>
              <w:rPr>
                <w:rFonts w:eastAsia="MS PMincho" w:cs="Times New Roman"/>
                <w:kern w:val="24"/>
                <w:lang w:eastAsia="ja-JP"/>
              </w:rPr>
            </w:pPr>
          </w:p>
        </w:tc>
        <w:tc>
          <w:tcPr>
            <w:tcW w:w="2410" w:type="dxa"/>
            <w:tcBorders>
              <w:top w:val="single" w:sz="4" w:space="0" w:color="auto"/>
              <w:left w:val="nil"/>
              <w:bottom w:val="nil"/>
              <w:right w:val="nil"/>
            </w:tcBorders>
          </w:tcPr>
          <w:p w14:paraId="73943AB6" w14:textId="5436A7A6" w:rsidR="001E73F5" w:rsidRDefault="001E73F5" w:rsidP="001E73F5">
            <w:pPr>
              <w:jc w:val="center"/>
              <w:rPr>
                <w:rFonts w:eastAsia="MS PMincho" w:cs="Times New Roman"/>
                <w:kern w:val="24"/>
                <w:lang w:eastAsia="ja-JP"/>
              </w:rPr>
            </w:pPr>
          </w:p>
        </w:tc>
      </w:tr>
      <w:tr w:rsidR="001E73F5" w:rsidRPr="00700D49" w14:paraId="57832E0A" w14:textId="77777777" w:rsidTr="00307E40">
        <w:trPr>
          <w:trHeight w:val="239"/>
        </w:trPr>
        <w:tc>
          <w:tcPr>
            <w:tcW w:w="5240" w:type="dxa"/>
            <w:tcBorders>
              <w:top w:val="nil"/>
              <w:left w:val="nil"/>
              <w:bottom w:val="nil"/>
              <w:right w:val="nil"/>
            </w:tcBorders>
          </w:tcPr>
          <w:p w14:paraId="0069857E" w14:textId="5E8A1FE1" w:rsidR="001E73F5" w:rsidRDefault="001E73F5" w:rsidP="001E73F5">
            <w:pPr>
              <w:ind w:firstLine="306"/>
              <w:rPr>
                <w:kern w:val="24"/>
              </w:rPr>
            </w:pPr>
            <w:r>
              <w:rPr>
                <w:kern w:val="24"/>
              </w:rPr>
              <w:t>Ezetimibe</w:t>
            </w:r>
          </w:p>
        </w:tc>
        <w:tc>
          <w:tcPr>
            <w:tcW w:w="2131" w:type="dxa"/>
            <w:tcBorders>
              <w:top w:val="nil"/>
              <w:left w:val="nil"/>
              <w:bottom w:val="nil"/>
              <w:right w:val="nil"/>
            </w:tcBorders>
          </w:tcPr>
          <w:p w14:paraId="6B32EB6B" w14:textId="73F5EA4E" w:rsidR="001E73F5" w:rsidRDefault="001E73F5" w:rsidP="001E73F5">
            <w:pPr>
              <w:jc w:val="center"/>
              <w:rPr>
                <w:rFonts w:eastAsia="MS PMincho" w:cs="Times New Roman"/>
                <w:kern w:val="24"/>
                <w:lang w:eastAsia="ja-JP"/>
              </w:rPr>
            </w:pPr>
            <w:r>
              <w:rPr>
                <w:rFonts w:eastAsia="MS PMincho" w:cs="Times New Roman"/>
                <w:kern w:val="24"/>
                <w:lang w:eastAsia="ja-JP"/>
              </w:rPr>
              <w:t>2</w:t>
            </w:r>
          </w:p>
        </w:tc>
        <w:tc>
          <w:tcPr>
            <w:tcW w:w="2410" w:type="dxa"/>
            <w:tcBorders>
              <w:top w:val="nil"/>
              <w:left w:val="nil"/>
              <w:bottom w:val="nil"/>
              <w:right w:val="nil"/>
            </w:tcBorders>
          </w:tcPr>
          <w:p w14:paraId="1B7E4E01" w14:textId="3C2A9DEF"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33B2A6E0" w14:textId="77777777" w:rsidTr="00307E40">
        <w:trPr>
          <w:trHeight w:val="239"/>
        </w:trPr>
        <w:tc>
          <w:tcPr>
            <w:tcW w:w="5240" w:type="dxa"/>
            <w:tcBorders>
              <w:top w:val="nil"/>
              <w:left w:val="nil"/>
              <w:bottom w:val="single" w:sz="4" w:space="0" w:color="auto"/>
              <w:right w:val="nil"/>
            </w:tcBorders>
          </w:tcPr>
          <w:p w14:paraId="547E3CE3" w14:textId="67B8A2CF" w:rsidR="001E73F5" w:rsidRDefault="001E73F5" w:rsidP="001E73F5">
            <w:pPr>
              <w:ind w:firstLine="306"/>
              <w:rPr>
                <w:kern w:val="24"/>
              </w:rPr>
            </w:pPr>
            <w:r>
              <w:rPr>
                <w:kern w:val="24"/>
              </w:rPr>
              <w:t>Repatha</w:t>
            </w:r>
          </w:p>
        </w:tc>
        <w:tc>
          <w:tcPr>
            <w:tcW w:w="2131" w:type="dxa"/>
            <w:tcBorders>
              <w:top w:val="nil"/>
              <w:left w:val="nil"/>
              <w:bottom w:val="single" w:sz="4" w:space="0" w:color="auto"/>
              <w:right w:val="nil"/>
            </w:tcBorders>
          </w:tcPr>
          <w:p w14:paraId="09F2B77F" w14:textId="314ACB52" w:rsidR="001E73F5" w:rsidRDefault="001E73F5"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single" w:sz="4" w:space="0" w:color="auto"/>
              <w:right w:val="nil"/>
            </w:tcBorders>
          </w:tcPr>
          <w:p w14:paraId="3F762D3F" w14:textId="1D66E6C0"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3D2E9A62" w14:textId="77777777" w:rsidTr="00307E40">
        <w:trPr>
          <w:trHeight w:val="239"/>
        </w:trPr>
        <w:tc>
          <w:tcPr>
            <w:tcW w:w="5240" w:type="dxa"/>
            <w:tcBorders>
              <w:top w:val="single" w:sz="4" w:space="0" w:color="auto"/>
              <w:left w:val="nil"/>
              <w:bottom w:val="nil"/>
              <w:right w:val="nil"/>
            </w:tcBorders>
          </w:tcPr>
          <w:p w14:paraId="2FB0606F" w14:textId="3FE5828F" w:rsidR="001E73F5" w:rsidRDefault="001E73F5" w:rsidP="001E73F5">
            <w:pPr>
              <w:rPr>
                <w:kern w:val="24"/>
              </w:rPr>
            </w:pPr>
            <w:r>
              <w:rPr>
                <w:rFonts w:eastAsia="MS PMincho" w:cs="Times New Roman"/>
                <w:kern w:val="24"/>
                <w:lang w:eastAsia="ja-JP"/>
              </w:rPr>
              <w:t>Medication for stomach related problems</w:t>
            </w:r>
          </w:p>
        </w:tc>
        <w:tc>
          <w:tcPr>
            <w:tcW w:w="2131" w:type="dxa"/>
            <w:tcBorders>
              <w:top w:val="single" w:sz="4" w:space="0" w:color="auto"/>
              <w:left w:val="nil"/>
              <w:bottom w:val="nil"/>
              <w:right w:val="nil"/>
            </w:tcBorders>
          </w:tcPr>
          <w:p w14:paraId="1C705FEA" w14:textId="77777777" w:rsidR="001E73F5" w:rsidRDefault="001E73F5" w:rsidP="001E73F5">
            <w:pPr>
              <w:jc w:val="center"/>
              <w:rPr>
                <w:rFonts w:eastAsia="MS PMincho" w:cs="Times New Roman"/>
                <w:kern w:val="24"/>
                <w:lang w:eastAsia="ja-JP"/>
              </w:rPr>
            </w:pPr>
          </w:p>
        </w:tc>
        <w:tc>
          <w:tcPr>
            <w:tcW w:w="2410" w:type="dxa"/>
            <w:tcBorders>
              <w:top w:val="single" w:sz="4" w:space="0" w:color="auto"/>
              <w:left w:val="nil"/>
              <w:bottom w:val="nil"/>
              <w:right w:val="nil"/>
            </w:tcBorders>
          </w:tcPr>
          <w:p w14:paraId="1E1C4277" w14:textId="77777777" w:rsidR="001E73F5" w:rsidRDefault="001E73F5" w:rsidP="001E73F5">
            <w:pPr>
              <w:jc w:val="center"/>
              <w:rPr>
                <w:rFonts w:eastAsia="MS PMincho" w:cs="Times New Roman"/>
                <w:kern w:val="24"/>
                <w:lang w:eastAsia="ja-JP"/>
              </w:rPr>
            </w:pPr>
          </w:p>
        </w:tc>
      </w:tr>
      <w:tr w:rsidR="001E73F5" w:rsidRPr="00700D49" w14:paraId="152C5860" w14:textId="77777777" w:rsidTr="00307E40">
        <w:trPr>
          <w:trHeight w:val="239"/>
        </w:trPr>
        <w:tc>
          <w:tcPr>
            <w:tcW w:w="5240" w:type="dxa"/>
            <w:tcBorders>
              <w:top w:val="nil"/>
              <w:left w:val="nil"/>
              <w:bottom w:val="nil"/>
              <w:right w:val="nil"/>
            </w:tcBorders>
          </w:tcPr>
          <w:p w14:paraId="53A87901" w14:textId="614710BF" w:rsidR="001E73F5" w:rsidRDefault="001E73F5" w:rsidP="001E73F5">
            <w:pPr>
              <w:ind w:firstLine="306"/>
              <w:rPr>
                <w:rFonts w:eastAsia="MS PMincho" w:cs="Times New Roman"/>
                <w:kern w:val="24"/>
                <w:lang w:eastAsia="ja-JP"/>
              </w:rPr>
            </w:pPr>
            <w:r w:rsidRPr="009F0F4D">
              <w:rPr>
                <w:rFonts w:eastAsia="MS PMincho" w:cs="Times New Roman"/>
                <w:kern w:val="24"/>
                <w:lang w:val="en-US" w:eastAsia="ja-JP"/>
              </w:rPr>
              <w:t>Esomeprazole / Nexium</w:t>
            </w:r>
          </w:p>
        </w:tc>
        <w:tc>
          <w:tcPr>
            <w:tcW w:w="2131" w:type="dxa"/>
            <w:tcBorders>
              <w:top w:val="nil"/>
              <w:left w:val="nil"/>
              <w:bottom w:val="nil"/>
              <w:right w:val="nil"/>
            </w:tcBorders>
          </w:tcPr>
          <w:p w14:paraId="01370CBC" w14:textId="7E5A603A"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37F034F4" w14:textId="6C2A8009" w:rsidR="001E73F5" w:rsidRDefault="001E73F5"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08A858E6" w14:textId="77777777" w:rsidTr="00307E40">
        <w:trPr>
          <w:trHeight w:val="239"/>
        </w:trPr>
        <w:tc>
          <w:tcPr>
            <w:tcW w:w="5240" w:type="dxa"/>
            <w:tcBorders>
              <w:top w:val="nil"/>
              <w:left w:val="nil"/>
              <w:bottom w:val="nil"/>
              <w:right w:val="nil"/>
            </w:tcBorders>
          </w:tcPr>
          <w:p w14:paraId="68594E12" w14:textId="3D672906" w:rsidR="001E73F5" w:rsidRPr="009F0F4D" w:rsidRDefault="001E73F5" w:rsidP="001E73F5">
            <w:pPr>
              <w:ind w:firstLine="306"/>
              <w:rPr>
                <w:rFonts w:eastAsia="MS PMincho" w:cs="Times New Roman"/>
                <w:kern w:val="24"/>
                <w:lang w:val="en-US" w:eastAsia="ja-JP"/>
              </w:rPr>
            </w:pPr>
            <w:r>
              <w:rPr>
                <w:rFonts w:eastAsia="MS PMincho" w:cs="Times New Roman"/>
                <w:kern w:val="24"/>
                <w:lang w:eastAsia="ja-JP"/>
              </w:rPr>
              <w:t>Famotidine</w:t>
            </w:r>
          </w:p>
        </w:tc>
        <w:tc>
          <w:tcPr>
            <w:tcW w:w="2131" w:type="dxa"/>
            <w:tcBorders>
              <w:top w:val="nil"/>
              <w:left w:val="nil"/>
              <w:bottom w:val="nil"/>
              <w:right w:val="nil"/>
            </w:tcBorders>
          </w:tcPr>
          <w:p w14:paraId="4514E5E6" w14:textId="399DB13C" w:rsidR="001E73F5" w:rsidRDefault="001E73F5"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4DC48ED5" w14:textId="71A50D68"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1F2E2B74" w14:textId="77777777" w:rsidTr="00307E40">
        <w:trPr>
          <w:trHeight w:val="239"/>
        </w:trPr>
        <w:tc>
          <w:tcPr>
            <w:tcW w:w="5240" w:type="dxa"/>
            <w:tcBorders>
              <w:top w:val="nil"/>
              <w:left w:val="nil"/>
              <w:bottom w:val="nil"/>
              <w:right w:val="nil"/>
            </w:tcBorders>
          </w:tcPr>
          <w:p w14:paraId="0100008A" w14:textId="4945BCA2" w:rsidR="001E73F5" w:rsidRDefault="001E73F5" w:rsidP="001E73F5">
            <w:pPr>
              <w:ind w:firstLine="306"/>
              <w:rPr>
                <w:rFonts w:eastAsia="MS PMincho" w:cs="Times New Roman"/>
                <w:kern w:val="24"/>
                <w:lang w:eastAsia="ja-JP"/>
              </w:rPr>
            </w:pPr>
            <w:r>
              <w:rPr>
                <w:rFonts w:eastAsia="MS PMincho" w:cs="Times New Roman"/>
                <w:kern w:val="24"/>
                <w:lang w:eastAsia="ja-JP"/>
              </w:rPr>
              <w:t>Omeprazole</w:t>
            </w:r>
          </w:p>
        </w:tc>
        <w:tc>
          <w:tcPr>
            <w:tcW w:w="2131" w:type="dxa"/>
            <w:tcBorders>
              <w:top w:val="nil"/>
              <w:left w:val="nil"/>
              <w:bottom w:val="nil"/>
              <w:right w:val="nil"/>
            </w:tcBorders>
          </w:tcPr>
          <w:p w14:paraId="78214EB9" w14:textId="1362753C" w:rsidR="001E73F5" w:rsidRDefault="001E73F5" w:rsidP="001E73F5">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30D60FF0" w14:textId="4338453B" w:rsidR="001E73F5" w:rsidRDefault="001E73F5" w:rsidP="001E73F5">
            <w:pPr>
              <w:jc w:val="center"/>
              <w:rPr>
                <w:rFonts w:eastAsia="MS PMincho" w:cs="Times New Roman"/>
                <w:kern w:val="24"/>
                <w:lang w:eastAsia="ja-JP"/>
              </w:rPr>
            </w:pPr>
            <w:r>
              <w:rPr>
                <w:rFonts w:eastAsia="MS PMincho" w:cs="Times New Roman"/>
                <w:kern w:val="24"/>
                <w:lang w:eastAsia="ja-JP"/>
              </w:rPr>
              <w:t>1</w:t>
            </w:r>
          </w:p>
        </w:tc>
      </w:tr>
      <w:tr w:rsidR="001E73F5" w:rsidRPr="00700D49" w14:paraId="3FDA1CE5" w14:textId="77777777" w:rsidTr="00307E40">
        <w:trPr>
          <w:trHeight w:val="239"/>
        </w:trPr>
        <w:tc>
          <w:tcPr>
            <w:tcW w:w="5240" w:type="dxa"/>
            <w:tcBorders>
              <w:top w:val="nil"/>
              <w:left w:val="nil"/>
              <w:bottom w:val="nil"/>
              <w:right w:val="nil"/>
            </w:tcBorders>
          </w:tcPr>
          <w:p w14:paraId="26245C47" w14:textId="2D9364AB" w:rsidR="001E73F5" w:rsidRDefault="001E73F5" w:rsidP="001E73F5">
            <w:pPr>
              <w:ind w:firstLine="306"/>
              <w:rPr>
                <w:rFonts w:eastAsia="MS PMincho" w:cs="Times New Roman"/>
                <w:kern w:val="24"/>
                <w:lang w:eastAsia="ja-JP"/>
              </w:rPr>
            </w:pPr>
            <w:r w:rsidRPr="009F0F4D">
              <w:rPr>
                <w:rFonts w:eastAsia="MS PMincho" w:cs="Times New Roman"/>
                <w:kern w:val="24"/>
                <w:lang w:eastAsia="ja-JP"/>
              </w:rPr>
              <w:t>Pantoprazole/Pantaloc</w:t>
            </w:r>
          </w:p>
        </w:tc>
        <w:tc>
          <w:tcPr>
            <w:tcW w:w="2131" w:type="dxa"/>
            <w:tcBorders>
              <w:top w:val="nil"/>
              <w:left w:val="nil"/>
              <w:bottom w:val="nil"/>
              <w:right w:val="nil"/>
            </w:tcBorders>
          </w:tcPr>
          <w:p w14:paraId="5BF4E702" w14:textId="0A89C80B" w:rsidR="001E73F5" w:rsidRDefault="001E73F5" w:rsidP="001E73F5">
            <w:pPr>
              <w:jc w:val="center"/>
              <w:rPr>
                <w:rFonts w:eastAsia="MS PMincho" w:cs="Times New Roman"/>
                <w:kern w:val="24"/>
                <w:lang w:eastAsia="ja-JP"/>
              </w:rPr>
            </w:pPr>
            <w:r>
              <w:rPr>
                <w:rFonts w:eastAsia="MS PMincho" w:cs="Times New Roman"/>
                <w:kern w:val="24"/>
                <w:lang w:eastAsia="ja-JP"/>
              </w:rPr>
              <w:t>4</w:t>
            </w:r>
          </w:p>
        </w:tc>
        <w:tc>
          <w:tcPr>
            <w:tcW w:w="2410" w:type="dxa"/>
            <w:tcBorders>
              <w:top w:val="nil"/>
              <w:left w:val="nil"/>
              <w:bottom w:val="nil"/>
              <w:right w:val="nil"/>
            </w:tcBorders>
          </w:tcPr>
          <w:p w14:paraId="5D4F220C" w14:textId="62CC1241"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1E73F5" w:rsidRPr="00700D49" w14:paraId="22A13BDF" w14:textId="77777777" w:rsidTr="00307E40">
        <w:trPr>
          <w:trHeight w:val="239"/>
        </w:trPr>
        <w:tc>
          <w:tcPr>
            <w:tcW w:w="5240" w:type="dxa"/>
            <w:tcBorders>
              <w:top w:val="nil"/>
              <w:left w:val="nil"/>
              <w:bottom w:val="single" w:sz="4" w:space="0" w:color="auto"/>
              <w:right w:val="nil"/>
            </w:tcBorders>
          </w:tcPr>
          <w:p w14:paraId="6DD5A423" w14:textId="1E82967B" w:rsidR="001E73F5" w:rsidRPr="009F0F4D" w:rsidRDefault="001E73F5" w:rsidP="001E73F5">
            <w:pPr>
              <w:ind w:firstLine="306"/>
              <w:rPr>
                <w:rFonts w:eastAsia="MS PMincho" w:cs="Times New Roman"/>
                <w:kern w:val="24"/>
                <w:lang w:eastAsia="ja-JP"/>
              </w:rPr>
            </w:pPr>
            <w:r>
              <w:rPr>
                <w:rFonts w:eastAsia="MS PMincho" w:cs="Times New Roman"/>
                <w:kern w:val="24"/>
                <w:lang w:eastAsia="ja-JP"/>
              </w:rPr>
              <w:t>Tecta</w:t>
            </w:r>
          </w:p>
        </w:tc>
        <w:tc>
          <w:tcPr>
            <w:tcW w:w="2131" w:type="dxa"/>
            <w:tcBorders>
              <w:top w:val="nil"/>
              <w:left w:val="nil"/>
              <w:bottom w:val="single" w:sz="4" w:space="0" w:color="auto"/>
              <w:right w:val="nil"/>
            </w:tcBorders>
          </w:tcPr>
          <w:p w14:paraId="3806B925" w14:textId="12D3B691" w:rsidR="001E73F5" w:rsidRDefault="001E73F5"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single" w:sz="4" w:space="0" w:color="auto"/>
              <w:right w:val="nil"/>
            </w:tcBorders>
          </w:tcPr>
          <w:p w14:paraId="74F97F9A" w14:textId="5F0F8FE5" w:rsidR="001E73F5" w:rsidRDefault="001E73F5" w:rsidP="001E73F5">
            <w:pPr>
              <w:jc w:val="center"/>
              <w:rPr>
                <w:rFonts w:eastAsia="MS PMincho" w:cs="Times New Roman"/>
                <w:kern w:val="24"/>
                <w:lang w:eastAsia="ja-JP"/>
              </w:rPr>
            </w:pPr>
            <w:r>
              <w:rPr>
                <w:rFonts w:eastAsia="MS PMincho" w:cs="Times New Roman"/>
                <w:kern w:val="24"/>
                <w:lang w:eastAsia="ja-JP"/>
              </w:rPr>
              <w:t>0</w:t>
            </w:r>
          </w:p>
        </w:tc>
      </w:tr>
      <w:tr w:rsidR="00C6124E" w:rsidRPr="00700D49" w14:paraId="3E5561B5" w14:textId="77777777" w:rsidTr="00307E40">
        <w:trPr>
          <w:trHeight w:val="239"/>
        </w:trPr>
        <w:tc>
          <w:tcPr>
            <w:tcW w:w="5240" w:type="dxa"/>
            <w:tcBorders>
              <w:top w:val="single" w:sz="4" w:space="0" w:color="auto"/>
              <w:left w:val="nil"/>
              <w:bottom w:val="nil"/>
              <w:right w:val="nil"/>
            </w:tcBorders>
          </w:tcPr>
          <w:p w14:paraId="6BB38C63" w14:textId="3B50601A" w:rsidR="00C6124E" w:rsidRDefault="00C6124E" w:rsidP="00C6124E">
            <w:pPr>
              <w:rPr>
                <w:rFonts w:eastAsia="MS PMincho" w:cs="Times New Roman"/>
                <w:kern w:val="24"/>
                <w:lang w:eastAsia="ja-JP"/>
              </w:rPr>
            </w:pPr>
            <w:r>
              <w:rPr>
                <w:rFonts w:eastAsia="MS PMincho" w:cs="Times New Roman"/>
                <w:kern w:val="24"/>
                <w:lang w:eastAsia="ja-JP"/>
              </w:rPr>
              <w:t>Other medication</w:t>
            </w:r>
          </w:p>
        </w:tc>
        <w:tc>
          <w:tcPr>
            <w:tcW w:w="2131" w:type="dxa"/>
            <w:tcBorders>
              <w:top w:val="single" w:sz="4" w:space="0" w:color="auto"/>
              <w:left w:val="nil"/>
              <w:bottom w:val="nil"/>
              <w:right w:val="nil"/>
            </w:tcBorders>
          </w:tcPr>
          <w:p w14:paraId="621DA727" w14:textId="77777777" w:rsidR="00C6124E" w:rsidRDefault="00C6124E" w:rsidP="001E73F5">
            <w:pPr>
              <w:jc w:val="center"/>
              <w:rPr>
                <w:rFonts w:eastAsia="MS PMincho" w:cs="Times New Roman"/>
                <w:kern w:val="24"/>
                <w:lang w:eastAsia="ja-JP"/>
              </w:rPr>
            </w:pPr>
          </w:p>
        </w:tc>
        <w:tc>
          <w:tcPr>
            <w:tcW w:w="2410" w:type="dxa"/>
            <w:tcBorders>
              <w:top w:val="single" w:sz="4" w:space="0" w:color="auto"/>
              <w:left w:val="nil"/>
              <w:bottom w:val="nil"/>
              <w:right w:val="nil"/>
            </w:tcBorders>
          </w:tcPr>
          <w:p w14:paraId="26A2604E" w14:textId="77777777" w:rsidR="00C6124E" w:rsidRDefault="00C6124E" w:rsidP="001E73F5">
            <w:pPr>
              <w:jc w:val="center"/>
              <w:rPr>
                <w:rFonts w:eastAsia="MS PMincho" w:cs="Times New Roman"/>
                <w:kern w:val="24"/>
                <w:lang w:eastAsia="ja-JP"/>
              </w:rPr>
            </w:pPr>
          </w:p>
        </w:tc>
      </w:tr>
      <w:tr w:rsidR="00C6124E" w:rsidRPr="00700D49" w14:paraId="5DE27601" w14:textId="77777777" w:rsidTr="00307E40">
        <w:trPr>
          <w:trHeight w:val="239"/>
        </w:trPr>
        <w:tc>
          <w:tcPr>
            <w:tcW w:w="5240" w:type="dxa"/>
            <w:tcBorders>
              <w:top w:val="nil"/>
              <w:left w:val="nil"/>
              <w:bottom w:val="nil"/>
              <w:right w:val="nil"/>
            </w:tcBorders>
          </w:tcPr>
          <w:p w14:paraId="48F9BD0D" w14:textId="7357BE26" w:rsidR="00C6124E" w:rsidRDefault="00C6124E" w:rsidP="001E73F5">
            <w:pPr>
              <w:ind w:firstLine="306"/>
              <w:rPr>
                <w:rFonts w:eastAsia="MS PMincho" w:cs="Times New Roman"/>
                <w:kern w:val="24"/>
                <w:lang w:eastAsia="ja-JP"/>
              </w:rPr>
            </w:pPr>
            <w:r w:rsidRPr="00C6124E">
              <w:rPr>
                <w:rFonts w:eastAsia="MS PMincho" w:cs="Times New Roman"/>
                <w:kern w:val="24"/>
                <w:lang w:eastAsia="ja-JP"/>
              </w:rPr>
              <w:t>Acetaminophen / Tylenol</w:t>
            </w:r>
          </w:p>
        </w:tc>
        <w:tc>
          <w:tcPr>
            <w:tcW w:w="2131" w:type="dxa"/>
            <w:tcBorders>
              <w:top w:val="nil"/>
              <w:left w:val="nil"/>
              <w:bottom w:val="nil"/>
              <w:right w:val="nil"/>
            </w:tcBorders>
          </w:tcPr>
          <w:p w14:paraId="2FD66F7F" w14:textId="2D827F61" w:rsidR="00C6124E" w:rsidRDefault="00C6124E" w:rsidP="001E73F5">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50801CEC" w14:textId="61E9A134" w:rsidR="00C6124E" w:rsidRDefault="00C6124E" w:rsidP="001E73F5">
            <w:pPr>
              <w:jc w:val="center"/>
              <w:rPr>
                <w:rFonts w:eastAsia="MS PMincho" w:cs="Times New Roman"/>
                <w:kern w:val="24"/>
                <w:lang w:eastAsia="ja-JP"/>
              </w:rPr>
            </w:pPr>
            <w:r>
              <w:rPr>
                <w:rFonts w:eastAsia="MS PMincho" w:cs="Times New Roman"/>
                <w:kern w:val="24"/>
                <w:lang w:eastAsia="ja-JP"/>
              </w:rPr>
              <w:t>2</w:t>
            </w:r>
          </w:p>
        </w:tc>
      </w:tr>
      <w:tr w:rsidR="00C6124E" w:rsidRPr="00700D49" w14:paraId="58D745B7" w14:textId="77777777" w:rsidTr="00307E40">
        <w:trPr>
          <w:trHeight w:val="239"/>
        </w:trPr>
        <w:tc>
          <w:tcPr>
            <w:tcW w:w="5240" w:type="dxa"/>
            <w:tcBorders>
              <w:top w:val="nil"/>
              <w:left w:val="nil"/>
              <w:bottom w:val="nil"/>
              <w:right w:val="nil"/>
            </w:tcBorders>
          </w:tcPr>
          <w:p w14:paraId="08E907BE" w14:textId="0C3D5A15"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CBD oil</w:t>
            </w:r>
          </w:p>
        </w:tc>
        <w:tc>
          <w:tcPr>
            <w:tcW w:w="2131" w:type="dxa"/>
            <w:tcBorders>
              <w:top w:val="nil"/>
              <w:left w:val="nil"/>
              <w:bottom w:val="nil"/>
              <w:right w:val="nil"/>
            </w:tcBorders>
          </w:tcPr>
          <w:p w14:paraId="6EDAC462" w14:textId="025D6D94" w:rsidR="00C6124E" w:rsidRDefault="00C6124E" w:rsidP="00C6124E">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59ACE4ED" w14:textId="40463EF2" w:rsidR="00C6124E" w:rsidRDefault="00C6124E" w:rsidP="00C6124E">
            <w:pPr>
              <w:jc w:val="center"/>
              <w:rPr>
                <w:rFonts w:eastAsia="MS PMincho" w:cs="Times New Roman"/>
                <w:kern w:val="24"/>
                <w:lang w:eastAsia="ja-JP"/>
              </w:rPr>
            </w:pPr>
            <w:r>
              <w:rPr>
                <w:rFonts w:eastAsia="MS PMincho" w:cs="Times New Roman"/>
                <w:kern w:val="24"/>
                <w:lang w:eastAsia="ja-JP"/>
              </w:rPr>
              <w:t>0</w:t>
            </w:r>
          </w:p>
        </w:tc>
      </w:tr>
      <w:tr w:rsidR="00C6124E" w:rsidRPr="00700D49" w14:paraId="74AF0771" w14:textId="77777777" w:rsidTr="00307E40">
        <w:trPr>
          <w:trHeight w:val="239"/>
        </w:trPr>
        <w:tc>
          <w:tcPr>
            <w:tcW w:w="5240" w:type="dxa"/>
            <w:tcBorders>
              <w:top w:val="nil"/>
              <w:left w:val="nil"/>
              <w:bottom w:val="nil"/>
              <w:right w:val="nil"/>
            </w:tcBorders>
          </w:tcPr>
          <w:p w14:paraId="24301BB8" w14:textId="7A92673B"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Ferrous Fumarate</w:t>
            </w:r>
          </w:p>
        </w:tc>
        <w:tc>
          <w:tcPr>
            <w:tcW w:w="2131" w:type="dxa"/>
            <w:tcBorders>
              <w:top w:val="nil"/>
              <w:left w:val="nil"/>
              <w:bottom w:val="nil"/>
              <w:right w:val="nil"/>
            </w:tcBorders>
          </w:tcPr>
          <w:p w14:paraId="64A4189D" w14:textId="5541893A" w:rsidR="00C6124E" w:rsidRDefault="00C6124E" w:rsidP="00C6124E">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065136C6" w14:textId="173AA7DB" w:rsidR="00C6124E" w:rsidRDefault="00C6124E" w:rsidP="00C6124E">
            <w:pPr>
              <w:jc w:val="center"/>
              <w:rPr>
                <w:rFonts w:eastAsia="MS PMincho" w:cs="Times New Roman"/>
                <w:kern w:val="24"/>
                <w:lang w:eastAsia="ja-JP"/>
              </w:rPr>
            </w:pPr>
            <w:r>
              <w:rPr>
                <w:rFonts w:eastAsia="MS PMincho" w:cs="Times New Roman"/>
                <w:kern w:val="24"/>
                <w:lang w:eastAsia="ja-JP"/>
              </w:rPr>
              <w:t>0</w:t>
            </w:r>
          </w:p>
        </w:tc>
      </w:tr>
      <w:tr w:rsidR="00C6124E" w:rsidRPr="00700D49" w14:paraId="1C9FBA35" w14:textId="77777777" w:rsidTr="00307E40">
        <w:trPr>
          <w:trHeight w:val="239"/>
        </w:trPr>
        <w:tc>
          <w:tcPr>
            <w:tcW w:w="5240" w:type="dxa"/>
            <w:tcBorders>
              <w:top w:val="nil"/>
              <w:left w:val="nil"/>
              <w:bottom w:val="nil"/>
              <w:right w:val="nil"/>
            </w:tcBorders>
          </w:tcPr>
          <w:p w14:paraId="6459A3FE" w14:textId="54799055"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Gabapentin/Neurontin</w:t>
            </w:r>
          </w:p>
        </w:tc>
        <w:tc>
          <w:tcPr>
            <w:tcW w:w="2131" w:type="dxa"/>
            <w:tcBorders>
              <w:top w:val="nil"/>
              <w:left w:val="nil"/>
              <w:bottom w:val="nil"/>
              <w:right w:val="nil"/>
            </w:tcBorders>
          </w:tcPr>
          <w:p w14:paraId="5DF53D82" w14:textId="4E3A5455"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24459632" w14:textId="3AC79F65"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22FB92FD" w14:textId="77777777" w:rsidTr="00307E40">
        <w:trPr>
          <w:trHeight w:val="239"/>
        </w:trPr>
        <w:tc>
          <w:tcPr>
            <w:tcW w:w="5240" w:type="dxa"/>
            <w:tcBorders>
              <w:top w:val="nil"/>
              <w:left w:val="nil"/>
              <w:bottom w:val="nil"/>
              <w:right w:val="nil"/>
            </w:tcBorders>
          </w:tcPr>
          <w:p w14:paraId="01D92C23" w14:textId="0C1CF403"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Levothryroxine/Synthroid</w:t>
            </w:r>
          </w:p>
        </w:tc>
        <w:tc>
          <w:tcPr>
            <w:tcW w:w="2131" w:type="dxa"/>
            <w:tcBorders>
              <w:top w:val="nil"/>
              <w:left w:val="nil"/>
              <w:bottom w:val="nil"/>
              <w:right w:val="nil"/>
            </w:tcBorders>
          </w:tcPr>
          <w:p w14:paraId="037EF6A9" w14:textId="2EC21EB1" w:rsidR="00C6124E" w:rsidRDefault="00C6124E" w:rsidP="00C6124E">
            <w:pPr>
              <w:jc w:val="center"/>
              <w:rPr>
                <w:rFonts w:eastAsia="MS PMincho" w:cs="Times New Roman"/>
                <w:kern w:val="24"/>
                <w:lang w:eastAsia="ja-JP"/>
              </w:rPr>
            </w:pPr>
            <w:r>
              <w:rPr>
                <w:rFonts w:eastAsia="MS PMincho" w:cs="Times New Roman"/>
                <w:kern w:val="24"/>
                <w:lang w:eastAsia="ja-JP"/>
              </w:rPr>
              <w:t>1</w:t>
            </w:r>
          </w:p>
        </w:tc>
        <w:tc>
          <w:tcPr>
            <w:tcW w:w="2410" w:type="dxa"/>
            <w:tcBorders>
              <w:top w:val="nil"/>
              <w:left w:val="nil"/>
              <w:bottom w:val="nil"/>
              <w:right w:val="nil"/>
            </w:tcBorders>
          </w:tcPr>
          <w:p w14:paraId="38C970DD" w14:textId="572ED5A9" w:rsidR="00C6124E" w:rsidRDefault="00C6124E" w:rsidP="00C6124E">
            <w:pPr>
              <w:jc w:val="center"/>
              <w:rPr>
                <w:rFonts w:eastAsia="MS PMincho" w:cs="Times New Roman"/>
                <w:kern w:val="24"/>
                <w:lang w:eastAsia="ja-JP"/>
              </w:rPr>
            </w:pPr>
            <w:r>
              <w:rPr>
                <w:rFonts w:eastAsia="MS PMincho" w:cs="Times New Roman"/>
                <w:kern w:val="24"/>
                <w:lang w:eastAsia="ja-JP"/>
              </w:rPr>
              <w:t>4</w:t>
            </w:r>
          </w:p>
        </w:tc>
      </w:tr>
      <w:tr w:rsidR="00C6124E" w:rsidRPr="00700D49" w14:paraId="7AA89E0A" w14:textId="77777777" w:rsidTr="00307E40">
        <w:trPr>
          <w:trHeight w:val="239"/>
        </w:trPr>
        <w:tc>
          <w:tcPr>
            <w:tcW w:w="5240" w:type="dxa"/>
            <w:tcBorders>
              <w:top w:val="nil"/>
              <w:left w:val="nil"/>
              <w:bottom w:val="nil"/>
              <w:right w:val="nil"/>
            </w:tcBorders>
          </w:tcPr>
          <w:p w14:paraId="652F79C4" w14:textId="5F97BE8D"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Leucovorin</w:t>
            </w:r>
          </w:p>
        </w:tc>
        <w:tc>
          <w:tcPr>
            <w:tcW w:w="2131" w:type="dxa"/>
            <w:tcBorders>
              <w:top w:val="nil"/>
              <w:left w:val="nil"/>
              <w:bottom w:val="nil"/>
              <w:right w:val="nil"/>
            </w:tcBorders>
          </w:tcPr>
          <w:p w14:paraId="695F4DE2" w14:textId="68202FA9"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083BD6B5" w14:textId="39DC6581"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137A5544" w14:textId="77777777" w:rsidTr="00307E40">
        <w:trPr>
          <w:trHeight w:val="239"/>
        </w:trPr>
        <w:tc>
          <w:tcPr>
            <w:tcW w:w="5240" w:type="dxa"/>
            <w:tcBorders>
              <w:top w:val="nil"/>
              <w:left w:val="nil"/>
              <w:bottom w:val="nil"/>
              <w:right w:val="nil"/>
            </w:tcBorders>
          </w:tcPr>
          <w:p w14:paraId="2D0CB6D4" w14:textId="3164C627"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Methotrexate</w:t>
            </w:r>
          </w:p>
        </w:tc>
        <w:tc>
          <w:tcPr>
            <w:tcW w:w="2131" w:type="dxa"/>
            <w:tcBorders>
              <w:top w:val="nil"/>
              <w:left w:val="nil"/>
              <w:bottom w:val="nil"/>
              <w:right w:val="nil"/>
            </w:tcBorders>
          </w:tcPr>
          <w:p w14:paraId="5BCEC159" w14:textId="35D14B8C"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25DC6779" w14:textId="7459F36C"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2E5F8023" w14:textId="77777777" w:rsidTr="00307E40">
        <w:trPr>
          <w:trHeight w:val="239"/>
        </w:trPr>
        <w:tc>
          <w:tcPr>
            <w:tcW w:w="5240" w:type="dxa"/>
            <w:tcBorders>
              <w:top w:val="nil"/>
              <w:left w:val="nil"/>
              <w:bottom w:val="nil"/>
              <w:right w:val="nil"/>
            </w:tcBorders>
          </w:tcPr>
          <w:p w14:paraId="171972E7" w14:textId="51E915E7"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Pregabalin/Lyrica</w:t>
            </w:r>
          </w:p>
        </w:tc>
        <w:tc>
          <w:tcPr>
            <w:tcW w:w="2131" w:type="dxa"/>
            <w:tcBorders>
              <w:top w:val="nil"/>
              <w:left w:val="nil"/>
              <w:bottom w:val="nil"/>
              <w:right w:val="nil"/>
            </w:tcBorders>
          </w:tcPr>
          <w:p w14:paraId="4659C7C2" w14:textId="394C1BF1"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7D512E05" w14:textId="6F60EC66"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287FB01A" w14:textId="77777777" w:rsidTr="00307E40">
        <w:trPr>
          <w:trHeight w:val="239"/>
        </w:trPr>
        <w:tc>
          <w:tcPr>
            <w:tcW w:w="5240" w:type="dxa"/>
            <w:tcBorders>
              <w:top w:val="nil"/>
              <w:left w:val="nil"/>
              <w:bottom w:val="nil"/>
              <w:right w:val="nil"/>
            </w:tcBorders>
          </w:tcPr>
          <w:p w14:paraId="633373C2" w14:textId="6DAC91EB"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Teva-Risedronate</w:t>
            </w:r>
          </w:p>
        </w:tc>
        <w:tc>
          <w:tcPr>
            <w:tcW w:w="2131" w:type="dxa"/>
            <w:tcBorders>
              <w:top w:val="nil"/>
              <w:left w:val="nil"/>
              <w:bottom w:val="nil"/>
              <w:right w:val="nil"/>
            </w:tcBorders>
          </w:tcPr>
          <w:p w14:paraId="47ECB650" w14:textId="37D8BD79"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nil"/>
              <w:right w:val="nil"/>
            </w:tcBorders>
          </w:tcPr>
          <w:p w14:paraId="5F1AF6EC" w14:textId="10E9AB65"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2BBCEE3F" w14:textId="77777777" w:rsidTr="00307E40">
        <w:trPr>
          <w:trHeight w:val="239"/>
        </w:trPr>
        <w:tc>
          <w:tcPr>
            <w:tcW w:w="5240" w:type="dxa"/>
            <w:tcBorders>
              <w:top w:val="nil"/>
              <w:left w:val="nil"/>
              <w:bottom w:val="single" w:sz="4" w:space="0" w:color="auto"/>
              <w:right w:val="nil"/>
            </w:tcBorders>
          </w:tcPr>
          <w:p w14:paraId="73F56155" w14:textId="05126392" w:rsidR="00C6124E" w:rsidRDefault="00C6124E" w:rsidP="00C6124E">
            <w:pPr>
              <w:ind w:firstLine="306"/>
              <w:rPr>
                <w:rFonts w:eastAsia="MS PMincho" w:cs="Times New Roman"/>
                <w:kern w:val="24"/>
                <w:lang w:eastAsia="ja-JP"/>
              </w:rPr>
            </w:pPr>
            <w:r w:rsidRPr="00C6124E">
              <w:rPr>
                <w:rFonts w:eastAsia="MS PMincho" w:cs="Times New Roman"/>
                <w:kern w:val="24"/>
                <w:lang w:eastAsia="ja-JP"/>
              </w:rPr>
              <w:t>Zopiclone/Imovane</w:t>
            </w:r>
          </w:p>
        </w:tc>
        <w:tc>
          <w:tcPr>
            <w:tcW w:w="2131" w:type="dxa"/>
            <w:tcBorders>
              <w:top w:val="nil"/>
              <w:left w:val="nil"/>
              <w:bottom w:val="single" w:sz="4" w:space="0" w:color="auto"/>
              <w:right w:val="nil"/>
            </w:tcBorders>
          </w:tcPr>
          <w:p w14:paraId="27A3E6FA" w14:textId="5ADA392E" w:rsidR="00C6124E" w:rsidRDefault="00C6124E" w:rsidP="00C6124E">
            <w:pPr>
              <w:jc w:val="center"/>
              <w:rPr>
                <w:rFonts w:eastAsia="MS PMincho" w:cs="Times New Roman"/>
                <w:kern w:val="24"/>
                <w:lang w:eastAsia="ja-JP"/>
              </w:rPr>
            </w:pPr>
            <w:r>
              <w:rPr>
                <w:rFonts w:eastAsia="MS PMincho" w:cs="Times New Roman"/>
                <w:kern w:val="24"/>
                <w:lang w:eastAsia="ja-JP"/>
              </w:rPr>
              <w:t>0</w:t>
            </w:r>
          </w:p>
        </w:tc>
        <w:tc>
          <w:tcPr>
            <w:tcW w:w="2410" w:type="dxa"/>
            <w:tcBorders>
              <w:top w:val="nil"/>
              <w:left w:val="nil"/>
              <w:bottom w:val="single" w:sz="4" w:space="0" w:color="auto"/>
              <w:right w:val="nil"/>
            </w:tcBorders>
          </w:tcPr>
          <w:p w14:paraId="55E0CA47" w14:textId="00D08C21" w:rsidR="00C6124E" w:rsidRDefault="00C6124E" w:rsidP="00C6124E">
            <w:pPr>
              <w:jc w:val="center"/>
              <w:rPr>
                <w:rFonts w:eastAsia="MS PMincho" w:cs="Times New Roman"/>
                <w:kern w:val="24"/>
                <w:lang w:eastAsia="ja-JP"/>
              </w:rPr>
            </w:pPr>
            <w:r>
              <w:rPr>
                <w:rFonts w:eastAsia="MS PMincho" w:cs="Times New Roman"/>
                <w:kern w:val="24"/>
                <w:lang w:eastAsia="ja-JP"/>
              </w:rPr>
              <w:t>1</w:t>
            </w:r>
          </w:p>
        </w:tc>
      </w:tr>
      <w:tr w:rsidR="00C6124E" w:rsidRPr="00700D49" w14:paraId="3D9EAE4B" w14:textId="77777777" w:rsidTr="00307E40">
        <w:trPr>
          <w:trHeight w:val="239"/>
        </w:trPr>
        <w:tc>
          <w:tcPr>
            <w:tcW w:w="9781" w:type="dxa"/>
            <w:gridSpan w:val="3"/>
            <w:tcBorders>
              <w:top w:val="single" w:sz="4" w:space="0" w:color="auto"/>
              <w:left w:val="nil"/>
              <w:bottom w:val="nil"/>
              <w:right w:val="nil"/>
            </w:tcBorders>
          </w:tcPr>
          <w:p w14:paraId="17607C4E" w14:textId="2B41B21A" w:rsidR="00630EF4" w:rsidRDefault="00E35DA0" w:rsidP="00307E40">
            <w:pPr>
              <w:spacing w:before="60"/>
              <w:rPr>
                <w:rFonts w:cstheme="minorHAnsi"/>
                <w:sz w:val="22"/>
                <w:szCs w:val="22"/>
              </w:rPr>
            </w:pPr>
            <w:r w:rsidRPr="00356709">
              <w:rPr>
                <w:rFonts w:cstheme="minorHAnsi"/>
                <w:sz w:val="22"/>
                <w:szCs w:val="22"/>
              </w:rPr>
              <w:t>Values are presented as n</w:t>
            </w:r>
            <w:r>
              <w:rPr>
                <w:rFonts w:cstheme="minorHAnsi"/>
                <w:sz w:val="22"/>
                <w:szCs w:val="22"/>
              </w:rPr>
              <w:t xml:space="preserve"> of cases</w:t>
            </w:r>
            <w:r w:rsidRPr="00356709">
              <w:rPr>
                <w:rFonts w:cstheme="minorHAnsi"/>
                <w:sz w:val="22"/>
                <w:szCs w:val="22"/>
              </w:rPr>
              <w:t xml:space="preserve">. Data are self-reported. </w:t>
            </w:r>
            <w:r w:rsidR="00630EF4">
              <w:rPr>
                <w:rFonts w:cstheme="minorHAnsi"/>
                <w:sz w:val="22"/>
                <w:szCs w:val="22"/>
              </w:rPr>
              <w:t xml:space="preserve">Two participants in the </w:t>
            </w:r>
            <w:r w:rsidR="00630EF4" w:rsidRPr="00700D49">
              <w:rPr>
                <w:rFonts w:cstheme="minorHAnsi"/>
                <w:sz w:val="22"/>
                <w:szCs w:val="22"/>
              </w:rPr>
              <w:t>Hx</w:t>
            </w:r>
            <w:r w:rsidR="00630EF4" w:rsidRPr="00700D49">
              <w:rPr>
                <w:rFonts w:cstheme="minorHAnsi"/>
                <w:sz w:val="22"/>
                <w:szCs w:val="22"/>
                <w:vertAlign w:val="subscript"/>
              </w:rPr>
              <w:t>MI</w:t>
            </w:r>
            <w:r w:rsidR="00630EF4">
              <w:rPr>
                <w:rFonts w:cstheme="minorHAnsi"/>
                <w:sz w:val="22"/>
                <w:szCs w:val="22"/>
              </w:rPr>
              <w:t xml:space="preserve"> group opted not to share their medication intake</w:t>
            </w:r>
            <w:r w:rsidR="00DF462F">
              <w:rPr>
                <w:rFonts w:cstheme="minorHAnsi"/>
                <w:sz w:val="22"/>
                <w:szCs w:val="22"/>
              </w:rPr>
              <w:t xml:space="preserve">. </w:t>
            </w:r>
            <w:r w:rsidR="00630EF4">
              <w:rPr>
                <w:rFonts w:cstheme="minorHAnsi"/>
                <w:sz w:val="22"/>
                <w:szCs w:val="22"/>
              </w:rPr>
              <w:t xml:space="preserve">Four participants in the </w:t>
            </w:r>
            <w:r w:rsidR="00630EF4" w:rsidRPr="00630EF4">
              <w:rPr>
                <w:rFonts w:cstheme="minorHAnsi"/>
                <w:sz w:val="22"/>
                <w:szCs w:val="22"/>
              </w:rPr>
              <w:t>Hx</w:t>
            </w:r>
            <w:r w:rsidR="00630EF4" w:rsidRPr="00630EF4">
              <w:rPr>
                <w:rFonts w:cstheme="minorHAnsi"/>
                <w:sz w:val="22"/>
                <w:szCs w:val="22"/>
                <w:vertAlign w:val="subscript"/>
                <w:lang w:val="en-US"/>
              </w:rPr>
              <w:t>s̅</w:t>
            </w:r>
            <w:r w:rsidR="00630EF4" w:rsidRPr="00630EF4">
              <w:rPr>
                <w:rFonts w:cstheme="minorHAnsi"/>
                <w:sz w:val="22"/>
                <w:szCs w:val="22"/>
                <w:vertAlign w:val="subscript"/>
              </w:rPr>
              <w:t>MI</w:t>
            </w:r>
            <w:r w:rsidR="00630EF4">
              <w:rPr>
                <w:rFonts w:cstheme="minorHAnsi"/>
                <w:sz w:val="22"/>
                <w:szCs w:val="22"/>
              </w:rPr>
              <w:t xml:space="preserve"> group were not taking any medication. </w:t>
            </w:r>
          </w:p>
          <w:p w14:paraId="1D3ECF84" w14:textId="571D3AAA" w:rsidR="00307E40" w:rsidRPr="00700D49" w:rsidRDefault="00307E40" w:rsidP="00307E40">
            <w:pPr>
              <w:spacing w:before="60"/>
              <w:rPr>
                <w:rFonts w:cstheme="minorHAnsi"/>
                <w:sz w:val="22"/>
                <w:szCs w:val="22"/>
              </w:rPr>
            </w:pPr>
            <w:r w:rsidRPr="00700D49">
              <w:rPr>
                <w:rFonts w:cstheme="minorHAnsi"/>
                <w:sz w:val="22"/>
                <w:szCs w:val="22"/>
              </w:rPr>
              <w:t>Hx</w:t>
            </w:r>
            <w:r w:rsidRPr="00700D49">
              <w:rPr>
                <w:rFonts w:cstheme="minorHAnsi"/>
                <w:sz w:val="22"/>
                <w:szCs w:val="22"/>
                <w:vertAlign w:val="subscript"/>
              </w:rPr>
              <w:t>MI</w:t>
            </w:r>
            <w:r>
              <w:rPr>
                <w:rFonts w:cstheme="minorHAnsi"/>
                <w:sz w:val="22"/>
                <w:szCs w:val="22"/>
              </w:rPr>
              <w:t xml:space="preserve">: Women with a history of myocardial infarction; </w:t>
            </w:r>
            <w:r w:rsidRPr="00700D49">
              <w:rPr>
                <w:rFonts w:cstheme="minorHAnsi"/>
                <w:sz w:val="22"/>
                <w:szCs w:val="22"/>
              </w:rPr>
              <w:t>Hx</w:t>
            </w:r>
            <w:r w:rsidRPr="00700D49">
              <w:rPr>
                <w:rFonts w:cstheme="minorHAnsi"/>
                <w:sz w:val="22"/>
                <w:szCs w:val="22"/>
                <w:vertAlign w:val="subscript"/>
                <w:lang w:val="en-US"/>
              </w:rPr>
              <w:t>s̅</w:t>
            </w:r>
            <w:r w:rsidRPr="00700D49">
              <w:rPr>
                <w:rFonts w:cstheme="minorHAnsi"/>
                <w:sz w:val="22"/>
                <w:szCs w:val="22"/>
                <w:vertAlign w:val="subscript"/>
              </w:rPr>
              <w:t>MI</w:t>
            </w:r>
            <w:r w:rsidR="0044628B">
              <w:rPr>
                <w:rFonts w:cstheme="minorHAnsi"/>
                <w:sz w:val="22"/>
                <w:szCs w:val="22"/>
              </w:rPr>
              <w:t>: Women without a history of myocardial infarction</w:t>
            </w:r>
          </w:p>
          <w:p w14:paraId="67C9A3D2" w14:textId="0DABAFDB" w:rsidR="00C6124E" w:rsidRPr="00E35DA0" w:rsidRDefault="00C6124E" w:rsidP="00E35DA0">
            <w:pPr>
              <w:spacing w:before="60"/>
              <w:rPr>
                <w:rFonts w:cstheme="minorHAnsi"/>
                <w:sz w:val="22"/>
                <w:szCs w:val="22"/>
              </w:rPr>
            </w:pPr>
          </w:p>
        </w:tc>
      </w:tr>
    </w:tbl>
    <w:p w14:paraId="51D24B53" w14:textId="77777777" w:rsidR="00700D49" w:rsidRPr="00700D49" w:rsidRDefault="00700D49">
      <w:pPr>
        <w:rPr>
          <w:lang w:val="en-US"/>
        </w:rPr>
      </w:pPr>
    </w:p>
    <w:p w14:paraId="31745E03" w14:textId="75F231A8" w:rsidR="00CD6159" w:rsidRDefault="00CD6159">
      <w:pPr>
        <w:rPr>
          <w:lang w:val="en-US"/>
        </w:rPr>
      </w:pPr>
      <w:r>
        <w:rPr>
          <w:lang w:val="en-US"/>
        </w:rPr>
        <w:br w:type="page"/>
      </w:r>
    </w:p>
    <w:p w14:paraId="7ED73369" w14:textId="7683983D" w:rsidR="00946CAF" w:rsidRDefault="00946CAF" w:rsidP="00CD6159">
      <w:pPr>
        <w:spacing w:line="480" w:lineRule="auto"/>
        <w:jc w:val="center"/>
      </w:pPr>
      <w:r>
        <w:rPr>
          <w:b/>
          <w:bCs/>
        </w:rPr>
        <w:lastRenderedPageBreak/>
        <w:t>References</w:t>
      </w:r>
    </w:p>
    <w:p w14:paraId="7C0D422B" w14:textId="77777777" w:rsidR="008D742C" w:rsidRPr="008D742C" w:rsidRDefault="00946CAF" w:rsidP="008D742C">
      <w:pPr>
        <w:pStyle w:val="Bibliography"/>
        <w:rPr>
          <w:rFonts w:cs="Times New Roman"/>
          <w:lang w:val="en-US"/>
        </w:rPr>
      </w:pPr>
      <w:r>
        <w:fldChar w:fldCharType="begin"/>
      </w:r>
      <w:r w:rsidR="008D742C">
        <w:instrText xml:space="preserve"> ADDIN ZOTERO_BIBL {"uncited":[],"omitted":[],"custom":[]} CSL_BIBLIOGRAPHY </w:instrText>
      </w:r>
      <w:r>
        <w:fldChar w:fldCharType="separate"/>
      </w:r>
      <w:r w:rsidR="008D742C" w:rsidRPr="008D742C">
        <w:rPr>
          <w:rFonts w:cs="Times New Roman"/>
          <w:lang w:val="en-US"/>
        </w:rPr>
        <w:t xml:space="preserve">Freitas, S., Simões, M. R., Marôco, J., Alves, L., &amp; Santana, I. (2012). Construct Validity of the Montreal Cognitive Assessment (MoCA). </w:t>
      </w:r>
      <w:r w:rsidR="008D742C" w:rsidRPr="008D742C">
        <w:rPr>
          <w:rFonts w:cs="Times New Roman"/>
          <w:i/>
          <w:iCs/>
          <w:lang w:val="en-US"/>
        </w:rPr>
        <w:t>Journal of the International Neuropsychological Society</w:t>
      </w:r>
      <w:r w:rsidR="008D742C" w:rsidRPr="008D742C">
        <w:rPr>
          <w:rFonts w:cs="Times New Roman"/>
          <w:lang w:val="en-US"/>
        </w:rPr>
        <w:t xml:space="preserve">, </w:t>
      </w:r>
      <w:r w:rsidR="008D742C" w:rsidRPr="008D742C">
        <w:rPr>
          <w:rFonts w:cs="Times New Roman"/>
          <w:i/>
          <w:iCs/>
          <w:lang w:val="en-US"/>
        </w:rPr>
        <w:t>18</w:t>
      </w:r>
      <w:r w:rsidR="008D742C" w:rsidRPr="008D742C">
        <w:rPr>
          <w:rFonts w:cs="Times New Roman"/>
          <w:lang w:val="en-US"/>
        </w:rPr>
        <w:t>(2), 242–250. https://doi.org/10.1017/S1355617711001573</w:t>
      </w:r>
    </w:p>
    <w:p w14:paraId="23B05FC3" w14:textId="77777777" w:rsidR="008D742C" w:rsidRPr="008D742C" w:rsidRDefault="008D742C" w:rsidP="008D742C">
      <w:pPr>
        <w:pStyle w:val="Bibliography"/>
        <w:rPr>
          <w:rFonts w:cs="Times New Roman"/>
          <w:lang w:val="en-US"/>
        </w:rPr>
      </w:pPr>
      <w:r w:rsidRPr="008D742C">
        <w:rPr>
          <w:rFonts w:cs="Times New Roman"/>
          <w:lang w:val="fr-CA"/>
        </w:rPr>
        <w:t xml:space="preserve">Lesage, F.-X., Martens-Resende, S., Deschamps, F., &amp; Berjot, S. (2011). </w:t>
      </w:r>
      <w:r w:rsidRPr="008D742C">
        <w:rPr>
          <w:rFonts w:cs="Times New Roman"/>
          <w:lang w:val="en-US"/>
        </w:rPr>
        <w:t xml:space="preserve">Validation of the General Health Questionnaire (GHQ-12) adapted to a work-related context. </w:t>
      </w:r>
      <w:r w:rsidRPr="008D742C">
        <w:rPr>
          <w:rFonts w:cs="Times New Roman"/>
          <w:i/>
          <w:iCs/>
          <w:lang w:val="en-US"/>
        </w:rPr>
        <w:t>Open Journal of Preventive Medicine</w:t>
      </w:r>
      <w:r w:rsidRPr="008D742C">
        <w:rPr>
          <w:rFonts w:cs="Times New Roman"/>
          <w:lang w:val="en-US"/>
        </w:rPr>
        <w:t xml:space="preserve">, </w:t>
      </w:r>
      <w:r w:rsidRPr="008D742C">
        <w:rPr>
          <w:rFonts w:cs="Times New Roman"/>
          <w:i/>
          <w:iCs/>
          <w:lang w:val="en-US"/>
        </w:rPr>
        <w:t>1</w:t>
      </w:r>
      <w:r w:rsidRPr="008D742C">
        <w:rPr>
          <w:rFonts w:cs="Times New Roman"/>
          <w:lang w:val="en-US"/>
        </w:rPr>
        <w:t>(2), 44–48. https://doi.org/10.4236/ojpm.2011.12007</w:t>
      </w:r>
    </w:p>
    <w:p w14:paraId="4056844C" w14:textId="77777777" w:rsidR="008D742C" w:rsidRPr="008D742C" w:rsidRDefault="008D742C" w:rsidP="008D742C">
      <w:pPr>
        <w:pStyle w:val="Bibliography"/>
        <w:rPr>
          <w:rFonts w:cs="Times New Roman"/>
          <w:lang w:val="fr-CA"/>
        </w:rPr>
      </w:pPr>
      <w:r w:rsidRPr="008D742C">
        <w:rPr>
          <w:rFonts w:cs="Times New Roman"/>
          <w:lang w:val="en-US"/>
        </w:rPr>
        <w:t xml:space="preserve">Morin, A. J. S., Moullec, G., Maïano, C., Layet, L., Just, J.-L., &amp; Ninot, G. (2011). Psychometric properties of the Center for Epidemiologic Studies Depression Scale (CES-D) in French clinical and nonclinical adults. </w:t>
      </w:r>
      <w:r w:rsidRPr="008D742C">
        <w:rPr>
          <w:rFonts w:cs="Times New Roman"/>
          <w:i/>
          <w:iCs/>
          <w:lang w:val="fr-CA"/>
        </w:rPr>
        <w:t>Revue D’epidemiologie Et De Sante Publique</w:t>
      </w:r>
      <w:r w:rsidRPr="008D742C">
        <w:rPr>
          <w:rFonts w:cs="Times New Roman"/>
          <w:lang w:val="fr-CA"/>
        </w:rPr>
        <w:t xml:space="preserve">, </w:t>
      </w:r>
      <w:r w:rsidRPr="008D742C">
        <w:rPr>
          <w:rFonts w:cs="Times New Roman"/>
          <w:i/>
          <w:iCs/>
          <w:lang w:val="fr-CA"/>
        </w:rPr>
        <w:t>59</w:t>
      </w:r>
      <w:r w:rsidRPr="008D742C">
        <w:rPr>
          <w:rFonts w:cs="Times New Roman"/>
          <w:lang w:val="fr-CA"/>
        </w:rPr>
        <w:t>(5), 327–340. https://doi.org/10.1016/j.respe.2011.03.061</w:t>
      </w:r>
    </w:p>
    <w:p w14:paraId="521E23E3" w14:textId="77777777" w:rsidR="008D742C" w:rsidRPr="008D742C" w:rsidRDefault="008D742C" w:rsidP="008D742C">
      <w:pPr>
        <w:pStyle w:val="Bibliography"/>
        <w:rPr>
          <w:rFonts w:cs="Times New Roman"/>
          <w:lang w:val="en-US"/>
        </w:rPr>
      </w:pPr>
      <w:r w:rsidRPr="008D742C">
        <w:rPr>
          <w:rFonts w:cs="Times New Roman"/>
          <w:lang w:val="fr-CA"/>
        </w:rPr>
        <w:t xml:space="preserve">Narvaez Linares, N. F., Charron, V., Ouimet, A. J., Labelle, P. R., &amp; Plamondon, H. (2020). </w:t>
      </w:r>
      <w:r w:rsidRPr="008D742C">
        <w:rPr>
          <w:rFonts w:cs="Times New Roman"/>
          <w:lang w:val="en-US"/>
        </w:rPr>
        <w:t xml:space="preserve">A systematic review of the Trier Social Stress Test methodology: Issues in promoting study comparison and replicable research. </w:t>
      </w:r>
      <w:r w:rsidRPr="008D742C">
        <w:rPr>
          <w:rFonts w:cs="Times New Roman"/>
          <w:i/>
          <w:iCs/>
          <w:lang w:val="en-US"/>
        </w:rPr>
        <w:t>Neurobiology of Stress</w:t>
      </w:r>
      <w:r w:rsidRPr="008D742C">
        <w:rPr>
          <w:rFonts w:cs="Times New Roman"/>
          <w:lang w:val="en-US"/>
        </w:rPr>
        <w:t xml:space="preserve">, </w:t>
      </w:r>
      <w:r w:rsidRPr="008D742C">
        <w:rPr>
          <w:rFonts w:cs="Times New Roman"/>
          <w:i/>
          <w:iCs/>
          <w:lang w:val="en-US"/>
        </w:rPr>
        <w:t>13</w:t>
      </w:r>
      <w:r w:rsidRPr="008D742C">
        <w:rPr>
          <w:rFonts w:cs="Times New Roman"/>
          <w:lang w:val="en-US"/>
        </w:rPr>
        <w:t>, 100235. https://doi.org/10.1016/j.ynstr.2020.100235</w:t>
      </w:r>
    </w:p>
    <w:p w14:paraId="695391DB" w14:textId="77777777" w:rsidR="008D742C" w:rsidRPr="008D742C" w:rsidRDefault="008D742C" w:rsidP="008D742C">
      <w:pPr>
        <w:pStyle w:val="Bibliography"/>
        <w:rPr>
          <w:rFonts w:cs="Times New Roman"/>
          <w:lang w:val="en-US"/>
        </w:rPr>
      </w:pPr>
      <w:r w:rsidRPr="008D742C">
        <w:rPr>
          <w:rFonts w:cs="Times New Roman"/>
          <w:lang w:val="en-US"/>
        </w:rPr>
        <w:t xml:space="preserve">Ross, T. P., Calhoun, E., Cox, T., Wenner, C., Kono, W., &amp; Pleasant, M. (2007). The reliability and validity of qualitative scores for the Controlled Oral Word Association Test. </w:t>
      </w:r>
      <w:r w:rsidRPr="008D742C">
        <w:rPr>
          <w:rFonts w:cs="Times New Roman"/>
          <w:i/>
          <w:iCs/>
          <w:lang w:val="en-US"/>
        </w:rPr>
        <w:t>Archives of Clinical Neuropsychology</w:t>
      </w:r>
      <w:r w:rsidRPr="008D742C">
        <w:rPr>
          <w:rFonts w:cs="Times New Roman"/>
          <w:lang w:val="en-US"/>
        </w:rPr>
        <w:t xml:space="preserve">, </w:t>
      </w:r>
      <w:r w:rsidRPr="008D742C">
        <w:rPr>
          <w:rFonts w:cs="Times New Roman"/>
          <w:i/>
          <w:iCs/>
          <w:lang w:val="en-US"/>
        </w:rPr>
        <w:t>22</w:t>
      </w:r>
      <w:r w:rsidRPr="008D742C">
        <w:rPr>
          <w:rFonts w:cs="Times New Roman"/>
          <w:lang w:val="en-US"/>
        </w:rPr>
        <w:t>(4), 475–488. https://doi.org/10.1016/j.acn.2007.01.026</w:t>
      </w:r>
    </w:p>
    <w:p w14:paraId="460F68F5" w14:textId="77777777" w:rsidR="008D742C" w:rsidRPr="008D742C" w:rsidRDefault="008D742C" w:rsidP="008D742C">
      <w:pPr>
        <w:pStyle w:val="Bibliography"/>
        <w:rPr>
          <w:rFonts w:cs="Times New Roman"/>
          <w:lang w:val="en-US"/>
        </w:rPr>
      </w:pPr>
      <w:r w:rsidRPr="008D742C">
        <w:rPr>
          <w:rFonts w:cs="Times New Roman"/>
          <w:lang w:val="en-US"/>
        </w:rPr>
        <w:t xml:space="preserve">Salama-Younes, M., Montazeri, A., Ismaïl, A., &amp; Roncin, C. (2009). Factor structure and internal consistency of the 12-item General Health Questionnaire (GHQ-12) and the Subjective Vitality Scale (VS), and the relationship between them: A study from France. </w:t>
      </w:r>
      <w:r w:rsidRPr="008D742C">
        <w:rPr>
          <w:rFonts w:cs="Times New Roman"/>
          <w:i/>
          <w:iCs/>
          <w:lang w:val="en-US"/>
        </w:rPr>
        <w:t>Health and Quality of Life Outcomes</w:t>
      </w:r>
      <w:r w:rsidRPr="008D742C">
        <w:rPr>
          <w:rFonts w:cs="Times New Roman"/>
          <w:lang w:val="en-US"/>
        </w:rPr>
        <w:t xml:space="preserve">, </w:t>
      </w:r>
      <w:r w:rsidRPr="008D742C">
        <w:rPr>
          <w:rFonts w:cs="Times New Roman"/>
          <w:i/>
          <w:iCs/>
          <w:lang w:val="en-US"/>
        </w:rPr>
        <w:t>7</w:t>
      </w:r>
      <w:r w:rsidRPr="008D742C">
        <w:rPr>
          <w:rFonts w:cs="Times New Roman"/>
          <w:lang w:val="en-US"/>
        </w:rPr>
        <w:t>(1), 22. https://doi.org/10.1186/1477-7525-7-22</w:t>
      </w:r>
    </w:p>
    <w:p w14:paraId="583A5625" w14:textId="77777777" w:rsidR="008D742C" w:rsidRPr="008D742C" w:rsidRDefault="008D742C" w:rsidP="008D742C">
      <w:pPr>
        <w:pStyle w:val="Bibliography"/>
        <w:rPr>
          <w:rFonts w:cs="Times New Roman"/>
          <w:lang w:val="en-US"/>
        </w:rPr>
      </w:pPr>
      <w:r w:rsidRPr="008D742C">
        <w:rPr>
          <w:rFonts w:cs="Times New Roman"/>
          <w:lang w:val="en-US"/>
        </w:rPr>
        <w:lastRenderedPageBreak/>
        <w:t xml:space="preserve">Shura, R. D., Rowland, J. A., &amp; Miskey, H. M. (2016). Auditory Consonant Trigrams: A Psychometric Update†. </w:t>
      </w:r>
      <w:r w:rsidRPr="008D742C">
        <w:rPr>
          <w:rFonts w:cs="Times New Roman"/>
          <w:i/>
          <w:iCs/>
          <w:lang w:val="en-US"/>
        </w:rPr>
        <w:t>Archives of Clinical Neuropsychology: The Official Journal of the National Academy of Neuropsychologists</w:t>
      </w:r>
      <w:r w:rsidRPr="008D742C">
        <w:rPr>
          <w:rFonts w:cs="Times New Roman"/>
          <w:lang w:val="en-US"/>
        </w:rPr>
        <w:t xml:space="preserve">, </w:t>
      </w:r>
      <w:r w:rsidRPr="008D742C">
        <w:rPr>
          <w:rFonts w:cs="Times New Roman"/>
          <w:i/>
          <w:iCs/>
          <w:lang w:val="en-US"/>
        </w:rPr>
        <w:t>31</w:t>
      </w:r>
      <w:r w:rsidRPr="008D742C">
        <w:rPr>
          <w:rFonts w:cs="Times New Roman"/>
          <w:lang w:val="en-US"/>
        </w:rPr>
        <w:t>(1), 47–57. https://doi.org/10.1093/arclin/acv083</w:t>
      </w:r>
    </w:p>
    <w:p w14:paraId="5107ACCC" w14:textId="77777777" w:rsidR="008D742C" w:rsidRPr="008D742C" w:rsidRDefault="008D742C" w:rsidP="008D742C">
      <w:pPr>
        <w:pStyle w:val="Bibliography"/>
        <w:rPr>
          <w:rFonts w:cs="Times New Roman"/>
          <w:lang w:val="en-US"/>
        </w:rPr>
      </w:pPr>
      <w:r w:rsidRPr="008D742C">
        <w:rPr>
          <w:rFonts w:cs="Times New Roman"/>
          <w:lang w:val="en-US"/>
        </w:rPr>
        <w:t xml:space="preserve">Tombaugh, T. N., Kozak, J., &amp; Rees, L. (1999). Normative Data Stratified by Age and Education for Two Measures of Verbal Fluency: FAS and Animal Naming. </w:t>
      </w:r>
      <w:r w:rsidRPr="008D742C">
        <w:rPr>
          <w:rFonts w:cs="Times New Roman"/>
          <w:i/>
          <w:iCs/>
          <w:lang w:val="en-US"/>
        </w:rPr>
        <w:t>Archives of Clinical Neuropsychology</w:t>
      </w:r>
      <w:r w:rsidRPr="008D742C">
        <w:rPr>
          <w:rFonts w:cs="Times New Roman"/>
          <w:lang w:val="en-US"/>
        </w:rPr>
        <w:t xml:space="preserve">, </w:t>
      </w:r>
      <w:r w:rsidRPr="008D742C">
        <w:rPr>
          <w:rFonts w:cs="Times New Roman"/>
          <w:i/>
          <w:iCs/>
          <w:lang w:val="en-US"/>
        </w:rPr>
        <w:t>14</w:t>
      </w:r>
      <w:r w:rsidRPr="008D742C">
        <w:rPr>
          <w:rFonts w:cs="Times New Roman"/>
          <w:lang w:val="en-US"/>
        </w:rPr>
        <w:t>(2), 167–177. https://doi.org/10.1016/S0887-6177(97)00095-4</w:t>
      </w:r>
    </w:p>
    <w:p w14:paraId="2E7CE268" w14:textId="77777777" w:rsidR="008D742C" w:rsidRPr="008D742C" w:rsidRDefault="008D742C" w:rsidP="008D742C">
      <w:pPr>
        <w:pStyle w:val="Bibliography"/>
        <w:rPr>
          <w:rFonts w:cs="Times New Roman"/>
          <w:lang w:val="en-US"/>
        </w:rPr>
      </w:pPr>
      <w:r w:rsidRPr="008D742C">
        <w:rPr>
          <w:rFonts w:cs="Times New Roman"/>
          <w:lang w:val="en-US"/>
        </w:rPr>
        <w:t xml:space="preserve">Tupler, L. A., Welsh, K. A., Asare-aboagye, Y., &amp; Dawson, D. V. (1995). Reliability of the rey-osterrieth complex figure in use with memory-impaired patients. </w:t>
      </w:r>
      <w:r w:rsidRPr="008D742C">
        <w:rPr>
          <w:rFonts w:cs="Times New Roman"/>
          <w:i/>
          <w:iCs/>
          <w:lang w:val="en-US"/>
        </w:rPr>
        <w:t>Journal of Clinical and Experimental Neuropsychology</w:t>
      </w:r>
      <w:r w:rsidRPr="008D742C">
        <w:rPr>
          <w:rFonts w:cs="Times New Roman"/>
          <w:lang w:val="en-US"/>
        </w:rPr>
        <w:t xml:space="preserve">, </w:t>
      </w:r>
      <w:r w:rsidRPr="008D742C">
        <w:rPr>
          <w:rFonts w:cs="Times New Roman"/>
          <w:i/>
          <w:iCs/>
          <w:lang w:val="en-US"/>
        </w:rPr>
        <w:t>17</w:t>
      </w:r>
      <w:r w:rsidRPr="008D742C">
        <w:rPr>
          <w:rFonts w:cs="Times New Roman"/>
          <w:lang w:val="en-US"/>
        </w:rPr>
        <w:t>(4), 566–579. https://doi.org/10.1080/01688639508405146</w:t>
      </w:r>
    </w:p>
    <w:p w14:paraId="08067086" w14:textId="77777777" w:rsidR="008D742C" w:rsidRPr="008D742C" w:rsidRDefault="008D742C" w:rsidP="008D742C">
      <w:pPr>
        <w:pStyle w:val="Bibliography"/>
        <w:rPr>
          <w:rFonts w:cs="Times New Roman"/>
          <w:lang w:val="en-US"/>
        </w:rPr>
      </w:pPr>
      <w:r w:rsidRPr="008D742C">
        <w:rPr>
          <w:rFonts w:cs="Times New Roman"/>
          <w:lang w:val="en-US"/>
        </w:rPr>
        <w:t xml:space="preserve">Van Dam, N. T., &amp; Earleywine, M. (2011). Validation of the Center for Epidemiologic Studies Depression Scale--Revised (CESD-R): Pragmatic depression assessment in the general population. </w:t>
      </w:r>
      <w:r w:rsidRPr="008D742C">
        <w:rPr>
          <w:rFonts w:cs="Times New Roman"/>
          <w:i/>
          <w:iCs/>
          <w:lang w:val="en-US"/>
        </w:rPr>
        <w:t>Psychiatry Research</w:t>
      </w:r>
      <w:r w:rsidRPr="008D742C">
        <w:rPr>
          <w:rFonts w:cs="Times New Roman"/>
          <w:lang w:val="en-US"/>
        </w:rPr>
        <w:t xml:space="preserve">, </w:t>
      </w:r>
      <w:r w:rsidRPr="008D742C">
        <w:rPr>
          <w:rFonts w:cs="Times New Roman"/>
          <w:i/>
          <w:iCs/>
          <w:lang w:val="en-US"/>
        </w:rPr>
        <w:t>186</w:t>
      </w:r>
      <w:r w:rsidRPr="008D742C">
        <w:rPr>
          <w:rFonts w:cs="Times New Roman"/>
          <w:lang w:val="en-US"/>
        </w:rPr>
        <w:t>(1), 128–132. https://doi.org/10.1016/j.psychres.2010.08.018</w:t>
      </w:r>
    </w:p>
    <w:p w14:paraId="7A1775C1" w14:textId="77777777" w:rsidR="008D742C" w:rsidRPr="008D742C" w:rsidRDefault="008D742C" w:rsidP="008D742C">
      <w:pPr>
        <w:pStyle w:val="Bibliography"/>
        <w:rPr>
          <w:rFonts w:cs="Times New Roman"/>
          <w:lang w:val="en-US"/>
        </w:rPr>
      </w:pPr>
      <w:r w:rsidRPr="008D742C">
        <w:rPr>
          <w:rFonts w:cs="Times New Roman"/>
          <w:lang w:val="en-US"/>
        </w:rPr>
        <w:t xml:space="preserve">Wagner, S., Helmreich, I., Dahmen, N., Lieb, K., &amp; Tadić, A. (2011). Reliability of Three Alternate Forms of the Trail Making Tests A and B. </w:t>
      </w:r>
      <w:r w:rsidRPr="008D742C">
        <w:rPr>
          <w:rFonts w:cs="Times New Roman"/>
          <w:i/>
          <w:iCs/>
          <w:lang w:val="en-US"/>
        </w:rPr>
        <w:t>Archives of Clinical Neuropsychology</w:t>
      </w:r>
      <w:r w:rsidRPr="008D742C">
        <w:rPr>
          <w:rFonts w:cs="Times New Roman"/>
          <w:lang w:val="en-US"/>
        </w:rPr>
        <w:t xml:space="preserve">, </w:t>
      </w:r>
      <w:r w:rsidRPr="008D742C">
        <w:rPr>
          <w:rFonts w:cs="Times New Roman"/>
          <w:i/>
          <w:iCs/>
          <w:lang w:val="en-US"/>
        </w:rPr>
        <w:t>26</w:t>
      </w:r>
      <w:r w:rsidRPr="008D742C">
        <w:rPr>
          <w:rFonts w:cs="Times New Roman"/>
          <w:lang w:val="en-US"/>
        </w:rPr>
        <w:t>(4), 314–321. https://doi.org/10.1093/arclin/acr024</w:t>
      </w:r>
    </w:p>
    <w:p w14:paraId="69C0A2EE" w14:textId="247C3E27" w:rsidR="00946CAF" w:rsidRPr="00946CAF" w:rsidRDefault="00946CAF" w:rsidP="009131E4">
      <w:pPr>
        <w:spacing w:line="480" w:lineRule="auto"/>
      </w:pPr>
      <w:r>
        <w:fldChar w:fldCharType="end"/>
      </w:r>
    </w:p>
    <w:sectPr w:rsidR="00946CAF" w:rsidRPr="00946CAF">
      <w:headerReference w:type="even" r:id="rId8"/>
      <w:headerReference w:type="default" r:id="rId9"/>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5D49" w14:textId="77777777" w:rsidR="00E400EA" w:rsidRDefault="00E400EA" w:rsidP="009131E4">
      <w:r>
        <w:separator/>
      </w:r>
    </w:p>
  </w:endnote>
  <w:endnote w:type="continuationSeparator" w:id="0">
    <w:p w14:paraId="7465D15A" w14:textId="77777777" w:rsidR="00E400EA" w:rsidRDefault="00E400EA" w:rsidP="0091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PMincho">
    <w:charset w:val="80"/>
    <w:family w:val="roman"/>
    <w:pitch w:val="variable"/>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16CA" w14:textId="31A3F7BD" w:rsidR="00E8145B" w:rsidRDefault="00E8145B">
    <w:pPr>
      <w:pStyle w:val="Footer"/>
    </w:pPr>
    <w:r>
      <w:rPr>
        <w:noProof/>
      </w:rPr>
      <mc:AlternateContent>
        <mc:Choice Requires="wps">
          <w:drawing>
            <wp:anchor distT="0" distB="0" distL="0" distR="0" simplePos="0" relativeHeight="251659264" behindDoc="0" locked="0" layoutInCell="1" allowOverlap="1" wp14:anchorId="7A63DB6F" wp14:editId="3C4FF06E">
              <wp:simplePos x="635" y="635"/>
              <wp:positionH relativeFrom="leftMargin">
                <wp:align>left</wp:align>
              </wp:positionH>
              <wp:positionV relativeFrom="paragraph">
                <wp:posOffset>635</wp:posOffset>
              </wp:positionV>
              <wp:extent cx="443865" cy="443865"/>
              <wp:effectExtent l="0" t="0" r="15875" b="18415"/>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13054" w14:textId="3127C5AE"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A63DB6F"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02813054" w14:textId="3127C5AE"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9482" w14:textId="3AC1850C" w:rsidR="00E8145B" w:rsidRDefault="00E8145B">
    <w:pPr>
      <w:pStyle w:val="Footer"/>
    </w:pPr>
    <w:r>
      <w:rPr>
        <w:noProof/>
      </w:rPr>
      <mc:AlternateContent>
        <mc:Choice Requires="wps">
          <w:drawing>
            <wp:anchor distT="0" distB="0" distL="0" distR="0" simplePos="0" relativeHeight="251660288" behindDoc="0" locked="0" layoutInCell="1" allowOverlap="1" wp14:anchorId="2D19EF42" wp14:editId="01F43D1C">
              <wp:simplePos x="914400" y="9436100"/>
              <wp:positionH relativeFrom="leftMargin">
                <wp:align>left</wp:align>
              </wp:positionH>
              <wp:positionV relativeFrom="paragraph">
                <wp:posOffset>635</wp:posOffset>
              </wp:positionV>
              <wp:extent cx="443865" cy="443865"/>
              <wp:effectExtent l="0" t="0" r="15875" b="18415"/>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EB21A" w14:textId="6E437738"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D19EF42"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463EB21A" w14:textId="6E437738"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E728" w14:textId="53E4AB0F" w:rsidR="00E8145B" w:rsidRDefault="00E8145B">
    <w:pPr>
      <w:pStyle w:val="Footer"/>
    </w:pPr>
    <w:r>
      <w:rPr>
        <w:noProof/>
      </w:rPr>
      <mc:AlternateContent>
        <mc:Choice Requires="wps">
          <w:drawing>
            <wp:anchor distT="0" distB="0" distL="0" distR="0" simplePos="0" relativeHeight="251658240" behindDoc="0" locked="0" layoutInCell="1" allowOverlap="1" wp14:anchorId="06834AB9" wp14:editId="2EA9EDB0">
              <wp:simplePos x="635" y="635"/>
              <wp:positionH relativeFrom="leftMargin">
                <wp:align>left</wp:align>
              </wp:positionH>
              <wp:positionV relativeFrom="paragraph">
                <wp:posOffset>635</wp:posOffset>
              </wp:positionV>
              <wp:extent cx="443865" cy="443865"/>
              <wp:effectExtent l="0" t="0" r="15875" b="18415"/>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A3701" w14:textId="39ECDDC2"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6834AB9"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030A3701" w14:textId="39ECDDC2" w:rsidR="00E8145B" w:rsidRPr="00E8145B" w:rsidRDefault="00E8145B">
                    <w:pPr>
                      <w:rPr>
                        <w:rFonts w:ascii="Rockwell" w:eastAsia="Rockwell" w:hAnsi="Rockwell" w:cs="Rockwell"/>
                        <w:noProof/>
                        <w:color w:val="0078D7"/>
                        <w:sz w:val="18"/>
                        <w:szCs w:val="18"/>
                      </w:rPr>
                    </w:pPr>
                    <w:r w:rsidRPr="00E8145B">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3102" w14:textId="77777777" w:rsidR="00E400EA" w:rsidRDefault="00E400EA" w:rsidP="009131E4">
      <w:r>
        <w:separator/>
      </w:r>
    </w:p>
  </w:footnote>
  <w:footnote w:type="continuationSeparator" w:id="0">
    <w:p w14:paraId="542FBFB7" w14:textId="77777777" w:rsidR="00E400EA" w:rsidRDefault="00E400EA" w:rsidP="0091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36497"/>
      <w:docPartObj>
        <w:docPartGallery w:val="Page Numbers (Top of Page)"/>
        <w:docPartUnique/>
      </w:docPartObj>
    </w:sdtPr>
    <w:sdtContent>
      <w:p w14:paraId="51A63811" w14:textId="54A6257C" w:rsidR="009131E4" w:rsidRDefault="009131E4" w:rsidP="00E404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DE8E2" w14:textId="77777777" w:rsidR="009131E4" w:rsidRDefault="009131E4" w:rsidP="00913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265210"/>
      <w:docPartObj>
        <w:docPartGallery w:val="Page Numbers (Top of Page)"/>
        <w:docPartUnique/>
      </w:docPartObj>
    </w:sdtPr>
    <w:sdtContent>
      <w:p w14:paraId="18FFC32D" w14:textId="79E830F9" w:rsidR="009131E4" w:rsidRDefault="009131E4" w:rsidP="00E404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870AA9" w14:textId="0D252244" w:rsidR="00935513" w:rsidRDefault="00935513">
    <w:pPr>
      <w:pStyle w:val="Header"/>
    </w:pPr>
    <w:r>
      <w:t>COGNIT</w:t>
    </w:r>
    <w:r w:rsidR="0014210C">
      <w:t>IVE FUNCTION</w:t>
    </w:r>
    <w:r>
      <w:t xml:space="preserve"> IN WOMEN WITH </w:t>
    </w:r>
    <w:r w:rsidR="0014210C">
      <w:t>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5262"/>
    <w:multiLevelType w:val="hybridMultilevel"/>
    <w:tmpl w:val="F4CE1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98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E4"/>
    <w:rsid w:val="0014210C"/>
    <w:rsid w:val="001E73F5"/>
    <w:rsid w:val="0021786D"/>
    <w:rsid w:val="00252DA5"/>
    <w:rsid w:val="00307E40"/>
    <w:rsid w:val="003E658B"/>
    <w:rsid w:val="004153D2"/>
    <w:rsid w:val="0044628B"/>
    <w:rsid w:val="004828D7"/>
    <w:rsid w:val="00556F7D"/>
    <w:rsid w:val="006049AC"/>
    <w:rsid w:val="00630EF4"/>
    <w:rsid w:val="00700D49"/>
    <w:rsid w:val="008C4A07"/>
    <w:rsid w:val="008D742C"/>
    <w:rsid w:val="009131E4"/>
    <w:rsid w:val="00935513"/>
    <w:rsid w:val="00946CAF"/>
    <w:rsid w:val="00954554"/>
    <w:rsid w:val="009F0F4D"/>
    <w:rsid w:val="00A15DC4"/>
    <w:rsid w:val="00BC43B3"/>
    <w:rsid w:val="00C1109A"/>
    <w:rsid w:val="00C6124E"/>
    <w:rsid w:val="00CD6159"/>
    <w:rsid w:val="00D73EF0"/>
    <w:rsid w:val="00DF462F"/>
    <w:rsid w:val="00E35DA0"/>
    <w:rsid w:val="00E400EA"/>
    <w:rsid w:val="00E814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BE62"/>
  <w15:chartTrackingRefBased/>
  <w15:docId w15:val="{A25929C1-8899-4D48-BB0E-B790D1D5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1E4"/>
    <w:pPr>
      <w:tabs>
        <w:tab w:val="center" w:pos="4680"/>
        <w:tab w:val="right" w:pos="9360"/>
      </w:tabs>
    </w:pPr>
  </w:style>
  <w:style w:type="character" w:customStyle="1" w:styleId="HeaderChar">
    <w:name w:val="Header Char"/>
    <w:basedOn w:val="DefaultParagraphFont"/>
    <w:link w:val="Header"/>
    <w:uiPriority w:val="99"/>
    <w:rsid w:val="009131E4"/>
  </w:style>
  <w:style w:type="paragraph" w:styleId="Footer">
    <w:name w:val="footer"/>
    <w:basedOn w:val="Normal"/>
    <w:link w:val="FooterChar"/>
    <w:uiPriority w:val="99"/>
    <w:unhideWhenUsed/>
    <w:rsid w:val="009131E4"/>
    <w:pPr>
      <w:tabs>
        <w:tab w:val="center" w:pos="4680"/>
        <w:tab w:val="right" w:pos="9360"/>
      </w:tabs>
    </w:pPr>
  </w:style>
  <w:style w:type="character" w:customStyle="1" w:styleId="FooterChar">
    <w:name w:val="Footer Char"/>
    <w:basedOn w:val="DefaultParagraphFont"/>
    <w:link w:val="Footer"/>
    <w:uiPriority w:val="99"/>
    <w:rsid w:val="009131E4"/>
  </w:style>
  <w:style w:type="character" w:styleId="PageNumber">
    <w:name w:val="page number"/>
    <w:basedOn w:val="DefaultParagraphFont"/>
    <w:uiPriority w:val="99"/>
    <w:semiHidden/>
    <w:unhideWhenUsed/>
    <w:rsid w:val="009131E4"/>
  </w:style>
  <w:style w:type="paragraph" w:styleId="ListParagraph">
    <w:name w:val="List Paragraph"/>
    <w:basedOn w:val="Normal"/>
    <w:uiPriority w:val="34"/>
    <w:qFormat/>
    <w:rsid w:val="009131E4"/>
    <w:pPr>
      <w:ind w:left="720"/>
      <w:contextualSpacing/>
    </w:pPr>
  </w:style>
  <w:style w:type="paragraph" w:styleId="Bibliography">
    <w:name w:val="Bibliography"/>
    <w:basedOn w:val="Normal"/>
    <w:next w:val="Normal"/>
    <w:uiPriority w:val="37"/>
    <w:unhideWhenUsed/>
    <w:rsid w:val="00946CAF"/>
    <w:pPr>
      <w:tabs>
        <w:tab w:val="left" w:pos="380"/>
      </w:tabs>
      <w:spacing w:line="480" w:lineRule="auto"/>
      <w:ind w:left="720" w:hanging="720"/>
    </w:pPr>
  </w:style>
  <w:style w:type="paragraph" w:styleId="CommentText">
    <w:name w:val="annotation text"/>
    <w:basedOn w:val="Normal"/>
    <w:link w:val="CommentTextChar"/>
    <w:uiPriority w:val="99"/>
    <w:semiHidden/>
    <w:unhideWhenUsed/>
    <w:rsid w:val="00946CAF"/>
    <w:rPr>
      <w:sz w:val="20"/>
      <w:szCs w:val="20"/>
    </w:rPr>
  </w:style>
  <w:style w:type="character" w:customStyle="1" w:styleId="CommentTextChar">
    <w:name w:val="Comment Text Char"/>
    <w:basedOn w:val="DefaultParagraphFont"/>
    <w:link w:val="CommentText"/>
    <w:uiPriority w:val="99"/>
    <w:semiHidden/>
    <w:rsid w:val="00946CAF"/>
    <w:rPr>
      <w:sz w:val="20"/>
      <w:szCs w:val="20"/>
    </w:rPr>
  </w:style>
  <w:style w:type="character" w:styleId="CommentReference">
    <w:name w:val="annotation reference"/>
    <w:basedOn w:val="DefaultParagraphFont"/>
    <w:uiPriority w:val="99"/>
    <w:semiHidden/>
    <w:unhideWhenUsed/>
    <w:rsid w:val="00946CAF"/>
    <w:rPr>
      <w:sz w:val="22"/>
      <w:szCs w:val="16"/>
    </w:rPr>
  </w:style>
  <w:style w:type="character" w:styleId="Hyperlink">
    <w:name w:val="Hyperlink"/>
    <w:basedOn w:val="DefaultParagraphFont"/>
    <w:uiPriority w:val="99"/>
    <w:unhideWhenUsed/>
    <w:rsid w:val="00946CAF"/>
    <w:rPr>
      <w:color w:val="0563C1" w:themeColor="hyperlink"/>
      <w:u w:val="single"/>
    </w:rPr>
  </w:style>
  <w:style w:type="character" w:styleId="UnresolvedMention">
    <w:name w:val="Unresolved Mention"/>
    <w:basedOn w:val="DefaultParagraphFont"/>
    <w:uiPriority w:val="99"/>
    <w:semiHidden/>
    <w:unhideWhenUsed/>
    <w:rsid w:val="00946CAF"/>
    <w:rPr>
      <w:color w:val="605E5C"/>
      <w:shd w:val="clear" w:color="auto" w:fill="E1DFDD"/>
    </w:rPr>
  </w:style>
  <w:style w:type="table" w:customStyle="1" w:styleId="TableGrid1">
    <w:name w:val="Table Grid1"/>
    <w:basedOn w:val="TableNormal"/>
    <w:next w:val="TableGrid"/>
    <w:uiPriority w:val="39"/>
    <w:rsid w:val="00700D49"/>
    <w:pPr>
      <w:ind w:firstLine="720"/>
    </w:pPr>
    <w:rPr>
      <w:rFonts w:eastAsia="MS PMincho"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7240">
      <w:bodyDiv w:val="1"/>
      <w:marLeft w:val="0"/>
      <w:marRight w:val="0"/>
      <w:marTop w:val="0"/>
      <w:marBottom w:val="0"/>
      <w:divBdr>
        <w:top w:val="none" w:sz="0" w:space="0" w:color="auto"/>
        <w:left w:val="none" w:sz="0" w:space="0" w:color="auto"/>
        <w:bottom w:val="none" w:sz="0" w:space="0" w:color="auto"/>
        <w:right w:val="none" w:sz="0" w:space="0" w:color="auto"/>
      </w:divBdr>
    </w:div>
    <w:div w:id="16446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brainscience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5566</Words>
  <Characters>31730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Marilou Poitras</dc:creator>
  <cp:keywords/>
  <dc:description/>
  <cp:lastModifiedBy>Pratt, Lucas</cp:lastModifiedBy>
  <cp:revision>2</cp:revision>
  <dcterms:created xsi:type="dcterms:W3CDTF">2022-09-20T20:31:00Z</dcterms:created>
  <dcterms:modified xsi:type="dcterms:W3CDTF">2022-09-20T20:31:00Z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id="qdoAua6B"/&gt;&lt;style id="http://www.zotero.org/styles/apa" locale="en-CA"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ClassificationContentMarkingFooterShapeIds">
    <vt:lpwstr>1,2,3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2022-09-20T20:30:59Z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5baf805f-f0fa-4a74-a853-0e440bc0d524</vt:lpwstr>
  </property>
  <property fmtid="{D5CDD505-2E9C-101B-9397-08002B2CF9AE}" pid="13" name="MSIP_Label_2bbab825-a111-45e4-86a1-18cee0005896_ContentBits">
    <vt:lpwstr>2</vt:lpwstr>
  </property>
</Properties>
</file>