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B8FF" w14:textId="26F3822E" w:rsidR="002C40F8" w:rsidRDefault="002C40F8" w:rsidP="00BC6E9F">
      <w:pPr>
        <w:spacing w:line="480" w:lineRule="auto"/>
        <w:jc w:val="both"/>
        <w:rPr>
          <w:rFonts w:ascii="Arial" w:hAnsi="Arial" w:cs="Arial"/>
          <w:b/>
          <w:bCs/>
          <w:sz w:val="20"/>
        </w:rPr>
      </w:pPr>
      <w:r>
        <w:rPr>
          <w:rFonts w:ascii="Arial" w:hAnsi="Arial" w:cs="Arial"/>
          <w:b/>
          <w:bCs/>
          <w:noProof/>
          <w:sz w:val="20"/>
        </w:rPr>
        <w:drawing>
          <wp:inline distT="0" distB="0" distL="0" distR="0" wp14:anchorId="66D5E7C4" wp14:editId="6F688227">
            <wp:extent cx="5727700" cy="3221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 Protocol_DeviceComp.pdf"/>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DFE6EE1" w14:textId="06EDEF17" w:rsidR="00BC6E9F" w:rsidRDefault="00BC6E9F" w:rsidP="00650308">
      <w:pPr>
        <w:jc w:val="both"/>
        <w:rPr>
          <w:rFonts w:ascii="Arial" w:hAnsi="Arial" w:cs="Arial"/>
          <w:bCs/>
        </w:rPr>
      </w:pPr>
      <w:r w:rsidRPr="00650308">
        <w:rPr>
          <w:rFonts w:ascii="Arial" w:hAnsi="Arial" w:cs="Arial"/>
          <w:b/>
          <w:bCs/>
        </w:rPr>
        <w:t xml:space="preserve">Supplementary Figure 1. </w:t>
      </w:r>
      <w:r w:rsidRPr="00650308">
        <w:rPr>
          <w:rFonts w:ascii="Arial" w:hAnsi="Arial" w:cs="Arial"/>
          <w:bCs/>
        </w:rPr>
        <w:t xml:space="preserve">Study protocol. In this 15-day protocol, both the 8-h split sleep group and the 8-h continuous group had 2 adaptation and baseline nights (B1 and B2; time-in-bed indicated by black bars = 9 h from 23:00 to 08:00). The first cycle of sleep manipulation </w:t>
      </w:r>
      <w:r w:rsidR="00596A31" w:rsidRPr="00650308">
        <w:rPr>
          <w:rFonts w:ascii="Arial" w:hAnsi="Arial" w:cs="Arial"/>
          <w:bCs/>
        </w:rPr>
        <w:t>consisted of</w:t>
      </w:r>
      <w:r w:rsidRPr="00650308">
        <w:rPr>
          <w:rFonts w:ascii="Arial" w:hAnsi="Arial" w:cs="Arial"/>
          <w:bCs/>
        </w:rPr>
        <w:t xml:space="preserve"> 5 nights (M11 to M15) followed by 2 nights of recovery sleep</w:t>
      </w:r>
      <w:r w:rsidR="00596A31" w:rsidRPr="00650308">
        <w:rPr>
          <w:rFonts w:ascii="Arial" w:hAnsi="Arial" w:cs="Arial"/>
          <w:bCs/>
        </w:rPr>
        <w:t xml:space="preserve"> with 9 hours of sleep </w:t>
      </w:r>
      <w:r w:rsidR="008E41E4" w:rsidRPr="00650308">
        <w:rPr>
          <w:rFonts w:ascii="Arial" w:hAnsi="Arial" w:cs="Arial"/>
          <w:bCs/>
        </w:rPr>
        <w:t>opportunity</w:t>
      </w:r>
      <w:r w:rsidRPr="00650308">
        <w:rPr>
          <w:rFonts w:ascii="Arial" w:hAnsi="Arial" w:cs="Arial"/>
          <w:bCs/>
        </w:rPr>
        <w:t xml:space="preserve"> (R11</w:t>
      </w:r>
      <w:r w:rsidR="008E41E4" w:rsidRPr="00650308">
        <w:rPr>
          <w:rFonts w:ascii="Arial" w:hAnsi="Arial" w:cs="Arial"/>
          <w:bCs/>
        </w:rPr>
        <w:t xml:space="preserve">, </w:t>
      </w:r>
      <w:r w:rsidRPr="00650308">
        <w:rPr>
          <w:rFonts w:ascii="Arial" w:hAnsi="Arial" w:cs="Arial"/>
          <w:bCs/>
        </w:rPr>
        <w:t xml:space="preserve">R12). </w:t>
      </w:r>
      <w:r w:rsidR="008E41E4" w:rsidRPr="00650308">
        <w:rPr>
          <w:rFonts w:ascii="Arial" w:hAnsi="Arial" w:cs="Arial"/>
          <w:bCs/>
        </w:rPr>
        <w:t xml:space="preserve">Participants had 3 manipulation nights (M21 to M23) and 2 recovery nights (R21 and R22) during the </w:t>
      </w:r>
      <w:r w:rsidRPr="00650308">
        <w:rPr>
          <w:rFonts w:ascii="Arial" w:hAnsi="Arial" w:cs="Arial"/>
          <w:bCs/>
        </w:rPr>
        <w:t>second cycle</w:t>
      </w:r>
      <w:r w:rsidR="008E41E4" w:rsidRPr="00650308">
        <w:rPr>
          <w:rFonts w:ascii="Arial" w:hAnsi="Arial" w:cs="Arial"/>
          <w:bCs/>
        </w:rPr>
        <w:t xml:space="preserve"> of </w:t>
      </w:r>
      <w:r w:rsidR="006C57FD" w:rsidRPr="00650308">
        <w:rPr>
          <w:rFonts w:ascii="Arial" w:hAnsi="Arial" w:cs="Arial"/>
          <w:bCs/>
        </w:rPr>
        <w:t xml:space="preserve">the </w:t>
      </w:r>
      <w:r w:rsidR="008E41E4" w:rsidRPr="00650308">
        <w:rPr>
          <w:rFonts w:ascii="Arial" w:hAnsi="Arial" w:cs="Arial"/>
          <w:bCs/>
        </w:rPr>
        <w:t>protocol</w:t>
      </w:r>
      <w:r w:rsidRPr="00650308">
        <w:rPr>
          <w:rFonts w:ascii="Arial" w:hAnsi="Arial" w:cs="Arial"/>
          <w:bCs/>
        </w:rPr>
        <w:t>. During the two sleep opportunity manipulation periods</w:t>
      </w:r>
      <w:r w:rsidR="006C57FD" w:rsidRPr="00650308">
        <w:rPr>
          <w:rFonts w:ascii="Arial" w:hAnsi="Arial" w:cs="Arial"/>
          <w:bCs/>
        </w:rPr>
        <w:t xml:space="preserve"> indicated with M</w:t>
      </w:r>
      <w:r w:rsidRPr="00650308">
        <w:rPr>
          <w:rFonts w:ascii="Arial" w:hAnsi="Arial" w:cs="Arial"/>
          <w:bCs/>
        </w:rPr>
        <w:t xml:space="preserve">, the split sleep group had a nocturnal TIB of 6.5 hours (00:15-06:45) and a 1.5-h nap opportunity between 14:00 and 15:30, while the continuous sleep group had a nocturnal TIB of 8 hours (23:30-07:30). The type of sleep data collected from participants during each nocturnal sleep episode is indicated in the graph. ‘A’ and ‘O’ indicate nights when actigraphy and </w:t>
      </w:r>
      <w:proofErr w:type="spellStart"/>
      <w:r w:rsidRPr="00650308">
        <w:rPr>
          <w:rFonts w:ascii="Arial" w:hAnsi="Arial" w:cs="Arial"/>
          <w:bCs/>
        </w:rPr>
        <w:t>Oura</w:t>
      </w:r>
      <w:proofErr w:type="spellEnd"/>
      <w:r w:rsidRPr="00650308">
        <w:rPr>
          <w:rFonts w:ascii="Arial" w:hAnsi="Arial" w:cs="Arial"/>
          <w:bCs/>
        </w:rPr>
        <w:t xml:space="preserve"> ring sleep measurements were present (all nights of the study). ‘P’ indicates nights when polysomnography was recorded. Asterisks indicate nights of data that were used during analysis. Data from B1 night was excluded as an adaptation night.</w:t>
      </w:r>
    </w:p>
    <w:p w14:paraId="70F9F0E3" w14:textId="3F9B22C2" w:rsidR="00650308" w:rsidRDefault="00650308" w:rsidP="00650308">
      <w:pPr>
        <w:jc w:val="both"/>
        <w:rPr>
          <w:rFonts w:ascii="Arial" w:hAnsi="Arial" w:cs="Arial"/>
          <w:bCs/>
        </w:rPr>
      </w:pPr>
    </w:p>
    <w:p w14:paraId="3D9154B4" w14:textId="0B6B4A45" w:rsidR="00650308" w:rsidRDefault="00650308" w:rsidP="00650308">
      <w:pPr>
        <w:jc w:val="both"/>
        <w:rPr>
          <w:rFonts w:ascii="Arial" w:hAnsi="Arial" w:cs="Arial"/>
          <w:bCs/>
        </w:rPr>
      </w:pPr>
    </w:p>
    <w:p w14:paraId="2E0CFA7B" w14:textId="42F20A1D" w:rsidR="00650308" w:rsidRDefault="00650308" w:rsidP="00650308">
      <w:pPr>
        <w:jc w:val="both"/>
        <w:rPr>
          <w:rFonts w:ascii="Arial" w:hAnsi="Arial" w:cs="Arial"/>
          <w:bCs/>
        </w:rPr>
      </w:pPr>
    </w:p>
    <w:p w14:paraId="5A7AD4AC" w14:textId="353DB808" w:rsidR="00650308" w:rsidRDefault="00650308" w:rsidP="00650308">
      <w:pPr>
        <w:jc w:val="both"/>
        <w:rPr>
          <w:rFonts w:ascii="Arial" w:hAnsi="Arial" w:cs="Arial"/>
          <w:bCs/>
        </w:rPr>
      </w:pPr>
    </w:p>
    <w:p w14:paraId="1BC9D3D0" w14:textId="77777777" w:rsidR="00650308" w:rsidRPr="00650308" w:rsidRDefault="00650308" w:rsidP="00650308">
      <w:pPr>
        <w:jc w:val="both"/>
        <w:rPr>
          <w:rFonts w:ascii="Arial" w:hAnsi="Arial" w:cs="Arial"/>
          <w:bCs/>
        </w:rPr>
      </w:pPr>
    </w:p>
    <w:p w14:paraId="1765039B" w14:textId="77777777" w:rsidR="00650308" w:rsidRPr="00EE6C6B" w:rsidRDefault="00650308" w:rsidP="00650308">
      <w:pPr>
        <w:jc w:val="center"/>
        <w:rPr>
          <w:rFonts w:ascii="Arial" w:eastAsia="Arial" w:hAnsi="Arial" w:cs="Arial"/>
          <w:color w:val="2E74B5" w:themeColor="accent5" w:themeShade="BF"/>
        </w:rPr>
      </w:pPr>
      <w:r>
        <w:rPr>
          <w:rFonts w:ascii="Arial" w:eastAsia="Arial" w:hAnsi="Arial" w:cs="Arial"/>
          <w:noProof/>
          <w:color w:val="2E74B5" w:themeColor="accent5" w:themeShade="BF"/>
        </w:rPr>
        <w:lastRenderedPageBreak/>
        <w:drawing>
          <wp:inline distT="0" distB="0" distL="0" distR="0" wp14:anchorId="7E4D9DC3" wp14:editId="02AA34C9">
            <wp:extent cx="4324350" cy="2219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6161" r="18239" b="49735"/>
                    <a:stretch/>
                  </pic:blipFill>
                  <pic:spPr bwMode="auto">
                    <a:xfrm>
                      <a:off x="0" y="0"/>
                      <a:ext cx="4324350" cy="2219325"/>
                    </a:xfrm>
                    <a:prstGeom prst="rect">
                      <a:avLst/>
                    </a:prstGeom>
                    <a:noFill/>
                    <a:ln>
                      <a:noFill/>
                    </a:ln>
                    <a:extLst>
                      <a:ext uri="{53640926-AAD7-44D8-BBD7-CCE9431645EC}">
                        <a14:shadowObscured xmlns:a14="http://schemas.microsoft.com/office/drawing/2010/main"/>
                      </a:ext>
                    </a:extLst>
                  </pic:spPr>
                </pic:pic>
              </a:graphicData>
            </a:graphic>
          </wp:inline>
        </w:drawing>
      </w:r>
    </w:p>
    <w:p w14:paraId="19481B57" w14:textId="3B8AB286" w:rsidR="00650308" w:rsidRPr="00650308" w:rsidRDefault="00650308" w:rsidP="00650308">
      <w:pPr>
        <w:autoSpaceDE w:val="0"/>
        <w:autoSpaceDN w:val="0"/>
        <w:adjustRightInd w:val="0"/>
        <w:rPr>
          <w:rFonts w:ascii="Arial" w:eastAsia="OpenSans-Light,Italic" w:hAnsi="Arial" w:cs="Arial"/>
        </w:rPr>
      </w:pPr>
      <w:r w:rsidRPr="00650308">
        <w:rPr>
          <w:rFonts w:ascii="Arial" w:eastAsia="Arial" w:hAnsi="Arial" w:cs="Arial"/>
          <w:b/>
        </w:rPr>
        <w:t xml:space="preserve">Supplementary Figure 2 </w:t>
      </w:r>
      <w:r w:rsidRPr="00650308">
        <w:rPr>
          <w:rFonts w:ascii="Arial" w:eastAsia="Arial" w:hAnsi="Arial" w:cs="Arial"/>
          <w:bCs/>
        </w:rPr>
        <w:t xml:space="preserve">PSG-measured TST in the Continuous (dotted lines) and Split (solid lines) sleep groups. Solid error bars denote 95% confidence intervals for the PSG measures, while shaded error bars denote 95% confidence intervals of the </w:t>
      </w:r>
      <w:proofErr w:type="spellStart"/>
      <w:r w:rsidRPr="00650308">
        <w:rPr>
          <w:rFonts w:ascii="Arial" w:eastAsia="Arial" w:hAnsi="Arial" w:cs="Arial"/>
          <w:bCs/>
        </w:rPr>
        <w:t>Oura</w:t>
      </w:r>
      <w:proofErr w:type="spellEnd"/>
      <w:r w:rsidRPr="00650308">
        <w:rPr>
          <w:rFonts w:ascii="Arial" w:eastAsia="Arial" w:hAnsi="Arial" w:cs="Arial"/>
          <w:bCs/>
        </w:rPr>
        <w:t xml:space="preserve">-PSG discrepancy. When error bars of the </w:t>
      </w:r>
      <w:proofErr w:type="spellStart"/>
      <w:r w:rsidRPr="00650308">
        <w:rPr>
          <w:rFonts w:ascii="Arial" w:eastAsia="Arial" w:hAnsi="Arial" w:cs="Arial"/>
          <w:bCs/>
        </w:rPr>
        <w:t>Oura</w:t>
      </w:r>
      <w:proofErr w:type="spellEnd"/>
      <w:r w:rsidRPr="00650308">
        <w:rPr>
          <w:rFonts w:ascii="Arial" w:eastAsia="Arial" w:hAnsi="Arial" w:cs="Arial"/>
          <w:bCs/>
        </w:rPr>
        <w:t xml:space="preserve">-PSG discrepancy render an overlap larger than half of its width (black ellipse on R11), then the effect is no longer detectable by </w:t>
      </w:r>
      <w:proofErr w:type="spellStart"/>
      <w:r w:rsidRPr="00650308">
        <w:rPr>
          <w:rFonts w:ascii="Arial" w:eastAsia="Arial" w:hAnsi="Arial" w:cs="Arial"/>
          <w:bCs/>
        </w:rPr>
        <w:t>Oura</w:t>
      </w:r>
      <w:proofErr w:type="spellEnd"/>
      <w:r w:rsidRPr="00650308">
        <w:rPr>
          <w:rFonts w:ascii="Arial" w:eastAsia="Arial" w:hAnsi="Arial" w:cs="Arial"/>
          <w:bCs/>
        </w:rPr>
        <w:t xml:space="preserve">. </w:t>
      </w:r>
    </w:p>
    <w:p w14:paraId="361B96A3" w14:textId="77777777" w:rsidR="00AB70EF" w:rsidRDefault="00AB70EF" w:rsidP="00F86B69">
      <w:pPr>
        <w:spacing w:line="480" w:lineRule="auto"/>
        <w:jc w:val="both"/>
        <w:rPr>
          <w:rFonts w:ascii="Arial" w:hAnsi="Arial" w:cs="Arial"/>
          <w:b/>
          <w:bCs/>
        </w:rPr>
      </w:pPr>
    </w:p>
    <w:p w14:paraId="13E55F2E" w14:textId="77777777" w:rsidR="00650308" w:rsidRDefault="00650308">
      <w:pPr>
        <w:rPr>
          <w:rFonts w:ascii="Arial" w:hAnsi="Arial" w:cs="Arial"/>
          <w:b/>
          <w:bCs/>
        </w:rPr>
      </w:pPr>
      <w:r>
        <w:rPr>
          <w:rFonts w:ascii="Arial" w:hAnsi="Arial" w:cs="Arial"/>
          <w:b/>
          <w:bCs/>
        </w:rPr>
        <w:br w:type="page"/>
      </w:r>
    </w:p>
    <w:p w14:paraId="68B1A96F" w14:textId="399B3FA5" w:rsidR="00650308" w:rsidRDefault="00650308" w:rsidP="00F86B69">
      <w:pPr>
        <w:spacing w:line="480" w:lineRule="auto"/>
        <w:jc w:val="both"/>
        <w:rPr>
          <w:rFonts w:ascii="Arial" w:hAnsi="Arial" w:cs="Arial"/>
          <w:b/>
          <w:bCs/>
        </w:rPr>
      </w:pPr>
      <w:r>
        <w:rPr>
          <w:rFonts w:ascii="Arial" w:hAnsi="Arial" w:cs="Arial"/>
          <w:b/>
          <w:bCs/>
        </w:rPr>
        <w:lastRenderedPageBreak/>
        <w:t>Supplementary Results</w:t>
      </w:r>
    </w:p>
    <w:p w14:paraId="3EDB70E5" w14:textId="62E43AD3" w:rsidR="00F86B69" w:rsidRPr="00AE7A2D" w:rsidRDefault="00CF4C92" w:rsidP="00F86B69">
      <w:pPr>
        <w:spacing w:line="480" w:lineRule="auto"/>
        <w:jc w:val="both"/>
        <w:rPr>
          <w:rFonts w:ascii="Arial" w:hAnsi="Arial" w:cs="Arial"/>
        </w:rPr>
      </w:pPr>
      <w:r>
        <w:rPr>
          <w:rFonts w:ascii="Arial" w:hAnsi="Arial" w:cs="Arial"/>
          <w:b/>
          <w:bCs/>
        </w:rPr>
        <w:t>C</w:t>
      </w:r>
      <w:r w:rsidR="00F86B69">
        <w:rPr>
          <w:rFonts w:ascii="Arial" w:hAnsi="Arial" w:cs="Arial"/>
          <w:b/>
          <w:bCs/>
        </w:rPr>
        <w:t xml:space="preserve">omparing the </w:t>
      </w:r>
      <w:proofErr w:type="spellStart"/>
      <w:r w:rsidR="00F86B69" w:rsidRPr="00AE7A2D">
        <w:rPr>
          <w:rFonts w:ascii="Arial" w:hAnsi="Arial" w:cs="Arial"/>
          <w:b/>
          <w:bCs/>
        </w:rPr>
        <w:t>Actiwatch</w:t>
      </w:r>
      <w:proofErr w:type="spellEnd"/>
      <w:r w:rsidR="00F86B69" w:rsidRPr="00AE7A2D">
        <w:rPr>
          <w:rFonts w:ascii="Arial" w:hAnsi="Arial" w:cs="Arial"/>
          <w:b/>
          <w:bCs/>
        </w:rPr>
        <w:t xml:space="preserve"> M10 </w:t>
      </w:r>
      <w:r w:rsidR="00F86B69">
        <w:rPr>
          <w:rFonts w:ascii="Arial" w:hAnsi="Arial" w:cs="Arial"/>
          <w:b/>
          <w:bCs/>
        </w:rPr>
        <w:t>and</w:t>
      </w:r>
      <w:r w:rsidR="00F86B69" w:rsidRPr="00AE7A2D">
        <w:rPr>
          <w:rFonts w:ascii="Arial" w:hAnsi="Arial" w:cs="Arial"/>
          <w:b/>
          <w:bCs/>
        </w:rPr>
        <w:t xml:space="preserve"> PSG</w:t>
      </w:r>
    </w:p>
    <w:p w14:paraId="6593AA56" w14:textId="3A844AD3" w:rsidR="00F86B69" w:rsidRPr="00AE7A2D" w:rsidRDefault="00F86B69" w:rsidP="00E03E53">
      <w:pPr>
        <w:spacing w:line="480" w:lineRule="auto"/>
        <w:ind w:firstLine="720"/>
        <w:jc w:val="both"/>
        <w:rPr>
          <w:rFonts w:ascii="Arial" w:hAnsi="Arial" w:cs="Arial"/>
        </w:rPr>
      </w:pPr>
      <w:r w:rsidRPr="00E03E53">
        <w:rPr>
          <w:rFonts w:ascii="Arial" w:hAnsi="Arial" w:cs="Arial"/>
        </w:rPr>
        <w:t xml:space="preserve">Similar to the </w:t>
      </w:r>
      <w:proofErr w:type="spellStart"/>
      <w:r w:rsidRPr="00E03E53">
        <w:rPr>
          <w:rFonts w:ascii="Arial" w:hAnsi="Arial" w:cs="Arial"/>
        </w:rPr>
        <w:t>Oura</w:t>
      </w:r>
      <w:proofErr w:type="spellEnd"/>
      <w:r w:rsidRPr="00E03E53">
        <w:rPr>
          <w:rFonts w:ascii="Arial" w:hAnsi="Arial" w:cs="Arial"/>
        </w:rPr>
        <w:t xml:space="preserve">, </w:t>
      </w:r>
      <w:proofErr w:type="spellStart"/>
      <w:r w:rsidRPr="00E03E53">
        <w:rPr>
          <w:rFonts w:ascii="Arial" w:hAnsi="Arial" w:cs="Arial"/>
        </w:rPr>
        <w:t>Actiwatch</w:t>
      </w:r>
      <w:proofErr w:type="spellEnd"/>
      <w:r w:rsidRPr="00E03E53">
        <w:rPr>
          <w:rFonts w:ascii="Arial" w:hAnsi="Arial" w:cs="Arial"/>
        </w:rPr>
        <w:t xml:space="preserve"> M10 significantly underestimated TST by an average of 25.8 to 33.8 minutes across all TIB conditions (</w:t>
      </w:r>
      <w:proofErr w:type="spellStart"/>
      <w:r w:rsidRPr="00E03E53">
        <w:rPr>
          <w:rFonts w:ascii="Arial" w:hAnsi="Arial" w:cs="Arial"/>
          <w:i/>
          <w:iCs/>
        </w:rPr>
        <w:t>t</w:t>
      </w:r>
      <w:r w:rsidR="000A503B">
        <w:rPr>
          <w:rFonts w:ascii="Arial" w:hAnsi="Arial" w:cs="Arial"/>
          <w:i/>
          <w:iCs/>
        </w:rPr>
        <w:t>s</w:t>
      </w:r>
      <w:proofErr w:type="spellEnd"/>
      <w:r w:rsidRPr="00E03E53">
        <w:rPr>
          <w:rFonts w:ascii="Arial" w:hAnsi="Arial" w:cs="Arial"/>
        </w:rPr>
        <w:t> </w:t>
      </w:r>
      <w:r w:rsidRPr="00E03E53">
        <w:rPr>
          <w:rFonts w:ascii="Arial" w:hAnsi="Arial" w:cs="Arial"/>
        </w:rPr>
        <w:sym w:font="Symbol" w:char="F0B3"/>
      </w:r>
      <w:r w:rsidRPr="00E03E53">
        <w:rPr>
          <w:rFonts w:ascii="Arial" w:hAnsi="Arial" w:cs="Arial"/>
        </w:rPr>
        <w:t xml:space="preserve"> 7.80, </w:t>
      </w:r>
      <w:r w:rsidRPr="00E03E53">
        <w:rPr>
          <w:rFonts w:ascii="Arial" w:hAnsi="Arial" w:cs="Arial"/>
          <w:i/>
          <w:iCs/>
        </w:rPr>
        <w:t>P</w:t>
      </w:r>
      <w:r w:rsidR="000A503B">
        <w:rPr>
          <w:rFonts w:ascii="Arial" w:hAnsi="Arial" w:cs="Arial"/>
          <w:i/>
          <w:iCs/>
        </w:rPr>
        <w:t>s</w:t>
      </w:r>
      <w:r w:rsidRPr="00E03E53">
        <w:rPr>
          <w:rFonts w:ascii="Arial" w:hAnsi="Arial" w:cs="Arial"/>
          <w:i/>
          <w:iCs/>
        </w:rPr>
        <w:t xml:space="preserve"> </w:t>
      </w:r>
      <w:r w:rsidRPr="00E03E53">
        <w:rPr>
          <w:rFonts w:ascii="Arial" w:hAnsi="Arial" w:cs="Arial"/>
        </w:rPr>
        <w:t>&lt; 0.001</w:t>
      </w:r>
      <w:r w:rsidR="000A503B">
        <w:rPr>
          <w:rFonts w:ascii="Arial" w:hAnsi="Arial" w:cs="Arial"/>
        </w:rPr>
        <w:t xml:space="preserve">, </w:t>
      </w:r>
      <w:r w:rsidR="000A503B">
        <w:rPr>
          <w:rFonts w:ascii="Arial" w:eastAsia="Arial" w:hAnsi="Arial" w:cs="Arial"/>
          <w:i/>
          <w:color w:val="000000"/>
          <w:lang w:val="en-US"/>
        </w:rPr>
        <w:t>Cohen’s d</w:t>
      </w:r>
      <w:r w:rsidR="008C7CFB">
        <w:rPr>
          <w:rFonts w:ascii="Arial" w:eastAsia="Arial" w:hAnsi="Arial" w:cs="Arial"/>
          <w:i/>
          <w:color w:val="000000"/>
          <w:lang w:val="en-US"/>
        </w:rPr>
        <w:t>s</w:t>
      </w:r>
      <w:r w:rsidR="000A503B">
        <w:rPr>
          <w:rFonts w:ascii="Arial" w:eastAsia="Arial" w:hAnsi="Arial" w:cs="Arial"/>
          <w:i/>
          <w:color w:val="000000"/>
          <w:lang w:val="en-US"/>
        </w:rPr>
        <w:t xml:space="preserve"> </w:t>
      </w:r>
      <w:r w:rsidR="000A503B" w:rsidRPr="00E03E53">
        <w:rPr>
          <w:rFonts w:ascii="Arial" w:hAnsi="Arial" w:cs="Arial"/>
        </w:rPr>
        <w:sym w:font="Symbol" w:char="F0B3"/>
      </w:r>
      <w:r w:rsidR="00BC49C8">
        <w:rPr>
          <w:rFonts w:ascii="Arial" w:hAnsi="Arial" w:cs="Arial"/>
        </w:rPr>
        <w:t xml:space="preserve"> 1.47</w:t>
      </w:r>
      <w:r w:rsidRPr="00E03E53">
        <w:rPr>
          <w:rFonts w:ascii="Arial" w:hAnsi="Arial" w:cs="Arial"/>
        </w:rPr>
        <w:t>). For WASO, we observed a significant overestimation by M10, ranging from 27.9 to 37.9 minutes (</w:t>
      </w:r>
      <w:proofErr w:type="spellStart"/>
      <w:r w:rsidRPr="00E03E53">
        <w:rPr>
          <w:rFonts w:ascii="Arial" w:hAnsi="Arial" w:cs="Arial"/>
          <w:i/>
          <w:iCs/>
        </w:rPr>
        <w:t>t</w:t>
      </w:r>
      <w:r w:rsidR="00A1115C">
        <w:rPr>
          <w:rFonts w:ascii="Arial" w:hAnsi="Arial" w:cs="Arial"/>
          <w:i/>
          <w:iCs/>
        </w:rPr>
        <w:t>s</w:t>
      </w:r>
      <w:proofErr w:type="spellEnd"/>
      <w:r w:rsidRPr="00E03E53">
        <w:rPr>
          <w:rFonts w:ascii="Arial" w:hAnsi="Arial" w:cs="Arial"/>
        </w:rPr>
        <w:t> </w:t>
      </w:r>
      <w:r w:rsidRPr="00E03E53">
        <w:rPr>
          <w:rFonts w:ascii="Arial" w:hAnsi="Arial" w:cs="Arial"/>
        </w:rPr>
        <w:sym w:font="Symbol" w:char="F0B3"/>
      </w:r>
      <w:r w:rsidRPr="00E03E53">
        <w:rPr>
          <w:rFonts w:ascii="Arial" w:hAnsi="Arial" w:cs="Arial"/>
        </w:rPr>
        <w:t xml:space="preserve"> 9.79, </w:t>
      </w:r>
      <w:r w:rsidRPr="00E03E53">
        <w:rPr>
          <w:rFonts w:ascii="Arial" w:hAnsi="Arial" w:cs="Arial"/>
          <w:i/>
          <w:iCs/>
        </w:rPr>
        <w:t>P</w:t>
      </w:r>
      <w:r w:rsidR="00A1115C">
        <w:rPr>
          <w:rFonts w:ascii="Arial" w:hAnsi="Arial" w:cs="Arial"/>
          <w:i/>
          <w:iCs/>
        </w:rPr>
        <w:t>s</w:t>
      </w:r>
      <w:r w:rsidRPr="00E03E53">
        <w:rPr>
          <w:rFonts w:ascii="Arial" w:hAnsi="Arial" w:cs="Arial"/>
          <w:i/>
          <w:iCs/>
        </w:rPr>
        <w:t xml:space="preserve"> </w:t>
      </w:r>
      <w:r w:rsidRPr="00E03E53">
        <w:rPr>
          <w:rFonts w:ascii="Arial" w:hAnsi="Arial" w:cs="Arial"/>
        </w:rPr>
        <w:t>&lt; 0.001</w:t>
      </w:r>
      <w:r w:rsidR="000A503B">
        <w:rPr>
          <w:rFonts w:ascii="Arial" w:hAnsi="Arial" w:cs="Arial"/>
        </w:rPr>
        <w:t xml:space="preserve">, </w:t>
      </w:r>
      <w:r w:rsidR="000A503B">
        <w:rPr>
          <w:rFonts w:ascii="Arial" w:eastAsia="Arial" w:hAnsi="Arial" w:cs="Arial"/>
          <w:i/>
          <w:color w:val="000000"/>
          <w:lang w:val="en-US"/>
        </w:rPr>
        <w:t>Cohen’s d</w:t>
      </w:r>
      <w:r w:rsidR="008C7CFB">
        <w:rPr>
          <w:rFonts w:ascii="Arial" w:eastAsia="Arial" w:hAnsi="Arial" w:cs="Arial"/>
          <w:i/>
          <w:color w:val="000000"/>
          <w:lang w:val="en-US"/>
        </w:rPr>
        <w:t>s</w:t>
      </w:r>
      <w:r w:rsidR="000A503B">
        <w:rPr>
          <w:rFonts w:ascii="Arial" w:eastAsia="Arial" w:hAnsi="Arial" w:cs="Arial"/>
          <w:i/>
          <w:color w:val="000000"/>
          <w:lang w:val="en-US"/>
        </w:rPr>
        <w:t xml:space="preserve"> </w:t>
      </w:r>
      <w:r w:rsidR="000A503B" w:rsidRPr="00E03E53">
        <w:rPr>
          <w:rFonts w:ascii="Arial" w:hAnsi="Arial" w:cs="Arial"/>
        </w:rPr>
        <w:sym w:font="Symbol" w:char="F0B3"/>
      </w:r>
      <w:r w:rsidR="008D32D5">
        <w:rPr>
          <w:rFonts w:ascii="Arial" w:hAnsi="Arial" w:cs="Arial"/>
        </w:rPr>
        <w:t xml:space="preserve"> 1.85</w:t>
      </w:r>
      <w:r w:rsidRPr="00E03E53">
        <w:rPr>
          <w:rFonts w:ascii="Arial" w:hAnsi="Arial" w:cs="Arial"/>
        </w:rPr>
        <w:t>;</w:t>
      </w:r>
      <w:r w:rsidRPr="00E03E53">
        <w:rPr>
          <w:rFonts w:ascii="Arial" w:hAnsi="Arial" w:cs="Arial"/>
          <w:b/>
          <w:bCs/>
        </w:rPr>
        <w:t> Table 2</w:t>
      </w:r>
      <w:r w:rsidRPr="00E03E53">
        <w:rPr>
          <w:rFonts w:ascii="Arial" w:hAnsi="Arial" w:cs="Arial"/>
        </w:rPr>
        <w:t>). Epoch-by-epoch (EBE) analyses indicated excellent sleep-wake classification accuracies and sensitivities (ability to detect sleep) ranging from 0.90 to 0.91, while specificity (ability to detect wake) ranged from 0.86 to 0.87 across all TIB conditions (</w:t>
      </w:r>
      <w:r w:rsidRPr="00E03E53">
        <w:rPr>
          <w:rFonts w:ascii="Arial" w:hAnsi="Arial" w:cs="Arial"/>
          <w:b/>
          <w:bCs/>
        </w:rPr>
        <w:t xml:space="preserve">Table </w:t>
      </w:r>
      <w:r w:rsidR="00044691">
        <w:rPr>
          <w:rFonts w:ascii="Arial" w:hAnsi="Arial" w:cs="Arial"/>
          <w:b/>
          <w:bCs/>
        </w:rPr>
        <w:t>5</w:t>
      </w:r>
      <w:r w:rsidRPr="00E03E53">
        <w:rPr>
          <w:rFonts w:ascii="Arial" w:hAnsi="Arial" w:cs="Arial"/>
        </w:rPr>
        <w:t>). </w:t>
      </w:r>
    </w:p>
    <w:p w14:paraId="6CFAA165" w14:textId="19F3F64F" w:rsidR="00F86B69" w:rsidRPr="00AE7A2D" w:rsidRDefault="00CF4C92" w:rsidP="00F86B69">
      <w:pPr>
        <w:spacing w:line="480" w:lineRule="auto"/>
        <w:jc w:val="both"/>
        <w:rPr>
          <w:rFonts w:ascii="Arial" w:hAnsi="Arial" w:cs="Arial"/>
        </w:rPr>
      </w:pPr>
      <w:r>
        <w:rPr>
          <w:rFonts w:ascii="Arial" w:hAnsi="Arial" w:cs="Arial"/>
          <w:b/>
          <w:bCs/>
        </w:rPr>
        <w:t>C</w:t>
      </w:r>
      <w:r w:rsidR="00F86B69">
        <w:rPr>
          <w:rFonts w:ascii="Arial" w:hAnsi="Arial" w:cs="Arial"/>
          <w:b/>
          <w:bCs/>
        </w:rPr>
        <w:t xml:space="preserve">omparing the </w:t>
      </w:r>
      <w:proofErr w:type="spellStart"/>
      <w:r w:rsidR="00F86B69" w:rsidRPr="00AE7A2D">
        <w:rPr>
          <w:rFonts w:ascii="Arial" w:hAnsi="Arial" w:cs="Arial"/>
          <w:b/>
          <w:bCs/>
        </w:rPr>
        <w:t>Actiwatch</w:t>
      </w:r>
      <w:proofErr w:type="spellEnd"/>
      <w:r w:rsidR="00F86B69" w:rsidRPr="00AE7A2D">
        <w:rPr>
          <w:rFonts w:ascii="Arial" w:hAnsi="Arial" w:cs="Arial"/>
          <w:b/>
          <w:bCs/>
        </w:rPr>
        <w:t xml:space="preserve"> H5 </w:t>
      </w:r>
      <w:r w:rsidR="00F86B69">
        <w:rPr>
          <w:rFonts w:ascii="Arial" w:hAnsi="Arial" w:cs="Arial"/>
          <w:b/>
          <w:bCs/>
        </w:rPr>
        <w:t>and</w:t>
      </w:r>
      <w:r w:rsidR="00F86B69" w:rsidRPr="00AE7A2D">
        <w:rPr>
          <w:rFonts w:ascii="Arial" w:hAnsi="Arial" w:cs="Arial"/>
          <w:b/>
          <w:bCs/>
        </w:rPr>
        <w:t xml:space="preserve"> PSG</w:t>
      </w:r>
    </w:p>
    <w:p w14:paraId="59F94749" w14:textId="676F0735" w:rsidR="00F86B69" w:rsidRDefault="00F86B69" w:rsidP="00AB70EF">
      <w:pPr>
        <w:spacing w:line="480" w:lineRule="auto"/>
        <w:ind w:firstLine="720"/>
        <w:jc w:val="both"/>
        <w:rPr>
          <w:rFonts w:ascii="Arial" w:hAnsi="Arial" w:cs="Arial"/>
        </w:rPr>
      </w:pPr>
      <w:r w:rsidRPr="00AE7A2D">
        <w:rPr>
          <w:rFonts w:ascii="Arial" w:hAnsi="Arial" w:cs="Arial"/>
        </w:rPr>
        <w:t>We observed a similar pattern of underestimation of TST and overestimation of WASO for</w:t>
      </w:r>
      <w:r>
        <w:rPr>
          <w:rFonts w:ascii="Arial" w:hAnsi="Arial" w:cs="Arial"/>
        </w:rPr>
        <w:t xml:space="preserve"> the</w:t>
      </w:r>
      <w:r w:rsidRPr="00AE7A2D">
        <w:rPr>
          <w:rFonts w:ascii="Arial" w:hAnsi="Arial" w:cs="Arial"/>
        </w:rPr>
        <w:t xml:space="preserve"> H5 setting, despite a better overall agreement with PSG compared with M10, TST was significantly underestimated by an average of 5.3 to 7.5 minutes in 8 and 9-hour groups (</w:t>
      </w:r>
      <w:proofErr w:type="spellStart"/>
      <w:r w:rsidRPr="00AE7A2D">
        <w:rPr>
          <w:rFonts w:ascii="Arial" w:hAnsi="Arial" w:cs="Arial"/>
          <w:i/>
          <w:iCs/>
        </w:rPr>
        <w:t>t</w:t>
      </w:r>
      <w:r w:rsidR="005A117A">
        <w:rPr>
          <w:rFonts w:ascii="Arial" w:hAnsi="Arial" w:cs="Arial"/>
          <w:i/>
          <w:iCs/>
        </w:rPr>
        <w:t>s</w:t>
      </w:r>
      <w:proofErr w:type="spellEnd"/>
      <w:r w:rsidRPr="00AE7A2D">
        <w:rPr>
          <w:rFonts w:ascii="Arial" w:hAnsi="Arial" w:cs="Arial"/>
        </w:rPr>
        <w:t> </w:t>
      </w:r>
      <w:r w:rsidRPr="00AE7A2D">
        <w:rPr>
          <w:rFonts w:ascii="Arial" w:hAnsi="Arial" w:cs="Arial"/>
        </w:rPr>
        <w:sym w:font="Symbol" w:char="F0B3"/>
      </w:r>
      <w:r w:rsidRPr="00AE7A2D">
        <w:rPr>
          <w:rFonts w:ascii="Arial" w:hAnsi="Arial" w:cs="Arial"/>
        </w:rPr>
        <w:t xml:space="preserve"> 2.15, </w:t>
      </w:r>
      <w:r w:rsidRPr="00AE7A2D">
        <w:rPr>
          <w:rFonts w:ascii="Arial" w:hAnsi="Arial" w:cs="Arial"/>
          <w:i/>
          <w:iCs/>
        </w:rPr>
        <w:t>P</w:t>
      </w:r>
      <w:r w:rsidR="005A117A">
        <w:rPr>
          <w:rFonts w:ascii="Arial" w:hAnsi="Arial" w:cs="Arial"/>
          <w:i/>
          <w:iCs/>
        </w:rPr>
        <w:t xml:space="preserve">s </w:t>
      </w:r>
      <w:r w:rsidRPr="00AE7A2D">
        <w:rPr>
          <w:rFonts w:ascii="Arial" w:hAnsi="Arial" w:cs="Arial"/>
        </w:rPr>
        <w:t>&lt; 0.05</w:t>
      </w:r>
      <w:r w:rsidR="000A503B">
        <w:rPr>
          <w:rFonts w:ascii="Arial" w:hAnsi="Arial" w:cs="Arial"/>
        </w:rPr>
        <w:t xml:space="preserve">, </w:t>
      </w:r>
      <w:r w:rsidR="000A503B">
        <w:rPr>
          <w:rFonts w:ascii="Arial" w:eastAsia="Arial" w:hAnsi="Arial" w:cs="Arial"/>
          <w:i/>
          <w:color w:val="000000"/>
          <w:lang w:val="en-US"/>
        </w:rPr>
        <w:t>Cohen’s d</w:t>
      </w:r>
      <w:r w:rsidR="008C7CFB">
        <w:rPr>
          <w:rFonts w:ascii="Arial" w:eastAsia="Arial" w:hAnsi="Arial" w:cs="Arial"/>
          <w:i/>
          <w:color w:val="000000"/>
          <w:lang w:val="en-US"/>
        </w:rPr>
        <w:t>s</w:t>
      </w:r>
      <w:r w:rsidR="000A503B">
        <w:rPr>
          <w:rFonts w:ascii="Arial" w:eastAsia="Arial" w:hAnsi="Arial" w:cs="Arial"/>
          <w:i/>
          <w:color w:val="000000"/>
          <w:lang w:val="en-US"/>
        </w:rPr>
        <w:t xml:space="preserve"> </w:t>
      </w:r>
      <w:r w:rsidR="000A503B" w:rsidRPr="00E03E53">
        <w:rPr>
          <w:rFonts w:ascii="Arial" w:hAnsi="Arial" w:cs="Arial"/>
        </w:rPr>
        <w:sym w:font="Symbol" w:char="F0B3"/>
      </w:r>
      <w:r w:rsidR="000A503B">
        <w:rPr>
          <w:rFonts w:ascii="Arial" w:hAnsi="Arial" w:cs="Arial"/>
        </w:rPr>
        <w:t xml:space="preserve"> </w:t>
      </w:r>
      <w:r w:rsidR="00417038">
        <w:rPr>
          <w:rFonts w:ascii="Arial" w:hAnsi="Arial" w:cs="Arial"/>
        </w:rPr>
        <w:t>0.</w:t>
      </w:r>
      <w:r w:rsidR="00AD3797">
        <w:rPr>
          <w:rFonts w:ascii="Arial" w:hAnsi="Arial" w:cs="Arial"/>
        </w:rPr>
        <w:t>29</w:t>
      </w:r>
      <w:r w:rsidRPr="00AE7A2D">
        <w:rPr>
          <w:rFonts w:ascii="Arial" w:hAnsi="Arial" w:cs="Arial"/>
        </w:rPr>
        <w:t>). No significant TST bias was observed in the 6.5-hour TIB condition (</w:t>
      </w:r>
      <w:proofErr w:type="spellStart"/>
      <w:r w:rsidRPr="00AE7A2D">
        <w:rPr>
          <w:rFonts w:ascii="Arial" w:hAnsi="Arial" w:cs="Arial"/>
          <w:i/>
          <w:iCs/>
        </w:rPr>
        <w:t>t</w:t>
      </w:r>
      <w:r w:rsidR="005A117A">
        <w:rPr>
          <w:rFonts w:ascii="Arial" w:hAnsi="Arial" w:cs="Arial"/>
          <w:i/>
          <w:iCs/>
        </w:rPr>
        <w:t>s</w:t>
      </w:r>
      <w:proofErr w:type="spellEnd"/>
      <w:r>
        <w:rPr>
          <w:rFonts w:ascii="Arial" w:hAnsi="Arial" w:cs="Arial"/>
        </w:rPr>
        <w:t xml:space="preserve"> </w:t>
      </w:r>
      <w:r w:rsidRPr="00AE7A2D">
        <w:rPr>
          <w:rFonts w:ascii="Arial" w:hAnsi="Arial" w:cs="Arial"/>
        </w:rPr>
        <w:t>=</w:t>
      </w:r>
      <w:r>
        <w:rPr>
          <w:rFonts w:ascii="Arial" w:hAnsi="Arial" w:cs="Arial"/>
        </w:rPr>
        <w:t xml:space="preserve"> </w:t>
      </w:r>
      <w:r w:rsidRPr="00AE7A2D">
        <w:rPr>
          <w:rFonts w:ascii="Arial" w:hAnsi="Arial" w:cs="Arial"/>
        </w:rPr>
        <w:t>0.77, </w:t>
      </w:r>
      <w:r w:rsidRPr="00AE7A2D">
        <w:rPr>
          <w:rFonts w:ascii="Arial" w:hAnsi="Arial" w:cs="Arial"/>
          <w:i/>
          <w:iCs/>
        </w:rPr>
        <w:t>P</w:t>
      </w:r>
      <w:r w:rsidR="005A117A">
        <w:rPr>
          <w:rFonts w:ascii="Arial" w:hAnsi="Arial" w:cs="Arial"/>
          <w:i/>
          <w:iCs/>
        </w:rPr>
        <w:t>s</w:t>
      </w:r>
      <w:r>
        <w:rPr>
          <w:rFonts w:ascii="Arial" w:hAnsi="Arial" w:cs="Arial"/>
          <w:i/>
          <w:iCs/>
        </w:rPr>
        <w:t xml:space="preserve"> </w:t>
      </w:r>
      <w:r w:rsidRPr="00AE7A2D">
        <w:rPr>
          <w:rFonts w:ascii="Arial" w:hAnsi="Arial" w:cs="Arial"/>
        </w:rPr>
        <w:t>= 0.45</w:t>
      </w:r>
      <w:r w:rsidR="000A503B">
        <w:rPr>
          <w:rFonts w:ascii="Arial" w:hAnsi="Arial" w:cs="Arial"/>
        </w:rPr>
        <w:t xml:space="preserve">, </w:t>
      </w:r>
      <w:r w:rsidR="000A503B">
        <w:rPr>
          <w:rFonts w:ascii="Arial" w:eastAsia="Arial" w:hAnsi="Arial" w:cs="Arial"/>
          <w:i/>
          <w:color w:val="000000"/>
          <w:lang w:val="en-US"/>
        </w:rPr>
        <w:t xml:space="preserve">Cohen’s d </w:t>
      </w:r>
      <w:r w:rsidR="000A503B">
        <w:rPr>
          <w:rFonts w:ascii="Arial" w:hAnsi="Arial" w:cs="Arial"/>
        </w:rPr>
        <w:t>=</w:t>
      </w:r>
      <w:r w:rsidR="00B656E2">
        <w:rPr>
          <w:rFonts w:ascii="Arial" w:hAnsi="Arial" w:cs="Arial"/>
        </w:rPr>
        <w:t xml:space="preserve"> 0.16</w:t>
      </w:r>
      <w:r w:rsidRPr="00AE7A2D">
        <w:rPr>
          <w:rFonts w:ascii="Arial" w:hAnsi="Arial" w:cs="Arial"/>
        </w:rPr>
        <w:t>). WASO was significantly overestimated across all TIB conditions by an average of 14.4 to 19.1 (</w:t>
      </w:r>
      <w:proofErr w:type="spellStart"/>
      <w:r w:rsidRPr="00230436">
        <w:rPr>
          <w:rFonts w:ascii="Arial" w:hAnsi="Arial" w:cs="Arial"/>
          <w:i/>
        </w:rPr>
        <w:t>t</w:t>
      </w:r>
      <w:r w:rsidR="00230436" w:rsidRPr="00230436">
        <w:rPr>
          <w:rFonts w:ascii="Arial" w:hAnsi="Arial" w:cs="Arial"/>
          <w:i/>
        </w:rPr>
        <w:t>s</w:t>
      </w:r>
      <w:proofErr w:type="spellEnd"/>
      <w:r w:rsidRPr="00AE7A2D">
        <w:rPr>
          <w:rFonts w:ascii="Arial" w:hAnsi="Arial" w:cs="Arial"/>
        </w:rPr>
        <w:t xml:space="preserve"> </w:t>
      </w:r>
      <w:r w:rsidRPr="00AE7A2D">
        <w:rPr>
          <w:rFonts w:ascii="Arial" w:hAnsi="Arial" w:cs="Arial"/>
        </w:rPr>
        <w:sym w:font="Symbol" w:char="F0B3"/>
      </w:r>
      <w:r w:rsidRPr="00AE7A2D">
        <w:rPr>
          <w:rFonts w:ascii="Arial" w:hAnsi="Arial" w:cs="Arial"/>
        </w:rPr>
        <w:t xml:space="preserve"> 7.92, </w:t>
      </w:r>
      <w:r w:rsidRPr="00AE7A2D">
        <w:rPr>
          <w:rFonts w:ascii="Arial" w:hAnsi="Arial" w:cs="Arial"/>
          <w:i/>
          <w:iCs/>
        </w:rPr>
        <w:t>P</w:t>
      </w:r>
      <w:r w:rsidR="00230436">
        <w:rPr>
          <w:rFonts w:ascii="Arial" w:hAnsi="Arial" w:cs="Arial"/>
          <w:i/>
          <w:iCs/>
        </w:rPr>
        <w:t>s</w:t>
      </w:r>
      <w:r>
        <w:rPr>
          <w:rFonts w:ascii="Arial" w:hAnsi="Arial" w:cs="Arial"/>
          <w:i/>
          <w:iCs/>
        </w:rPr>
        <w:t xml:space="preserve"> </w:t>
      </w:r>
      <w:r w:rsidRPr="00AE7A2D">
        <w:rPr>
          <w:rFonts w:ascii="Arial" w:hAnsi="Arial" w:cs="Arial"/>
        </w:rPr>
        <w:t>&lt; 0.001,</w:t>
      </w:r>
      <w:r w:rsidR="000A503B">
        <w:rPr>
          <w:rFonts w:ascii="Arial" w:hAnsi="Arial" w:cs="Arial"/>
        </w:rPr>
        <w:t xml:space="preserve"> </w:t>
      </w:r>
      <w:r w:rsidR="000A503B">
        <w:rPr>
          <w:rFonts w:ascii="Arial" w:eastAsia="Arial" w:hAnsi="Arial" w:cs="Arial"/>
          <w:i/>
          <w:color w:val="000000"/>
          <w:lang w:val="en-US"/>
        </w:rPr>
        <w:t>Cohen’s d</w:t>
      </w:r>
      <w:r w:rsidR="008C7CFB">
        <w:rPr>
          <w:rFonts w:ascii="Arial" w:eastAsia="Arial" w:hAnsi="Arial" w:cs="Arial"/>
          <w:i/>
          <w:color w:val="000000"/>
          <w:lang w:val="en-US"/>
        </w:rPr>
        <w:t>s</w:t>
      </w:r>
      <w:bookmarkStart w:id="0" w:name="_GoBack"/>
      <w:bookmarkEnd w:id="0"/>
      <w:r w:rsidR="000A503B">
        <w:rPr>
          <w:rFonts w:ascii="Arial" w:eastAsia="Arial" w:hAnsi="Arial" w:cs="Arial"/>
          <w:i/>
          <w:color w:val="000000"/>
          <w:lang w:val="en-US"/>
        </w:rPr>
        <w:t xml:space="preserve"> </w:t>
      </w:r>
      <w:r w:rsidR="000A503B" w:rsidRPr="00E03E53">
        <w:rPr>
          <w:rFonts w:ascii="Arial" w:hAnsi="Arial" w:cs="Arial"/>
        </w:rPr>
        <w:sym w:font="Symbol" w:char="F0B3"/>
      </w:r>
      <w:r w:rsidRPr="00AE7A2D">
        <w:rPr>
          <w:rFonts w:ascii="Arial" w:hAnsi="Arial" w:cs="Arial"/>
          <w:b/>
          <w:bCs/>
        </w:rPr>
        <w:t> </w:t>
      </w:r>
      <w:r w:rsidR="00CC2D16" w:rsidRPr="00CC2D16">
        <w:rPr>
          <w:rFonts w:ascii="Arial" w:hAnsi="Arial" w:cs="Arial"/>
          <w:bCs/>
        </w:rPr>
        <w:t>1.49</w:t>
      </w:r>
      <w:r w:rsidR="00CC2D16">
        <w:rPr>
          <w:rFonts w:ascii="Arial" w:hAnsi="Arial" w:cs="Arial"/>
          <w:b/>
          <w:bCs/>
        </w:rPr>
        <w:t xml:space="preserve"> </w:t>
      </w:r>
      <w:r w:rsidRPr="00AE7A2D">
        <w:rPr>
          <w:rFonts w:ascii="Arial" w:hAnsi="Arial" w:cs="Arial"/>
          <w:b/>
          <w:bCs/>
        </w:rPr>
        <w:t>Table 2</w:t>
      </w:r>
      <w:r w:rsidRPr="00AE7A2D">
        <w:rPr>
          <w:rFonts w:ascii="Arial" w:hAnsi="Arial" w:cs="Arial"/>
        </w:rPr>
        <w:t>). EBE analyses indicated excellent sleep-wake classification accuracies ranging from 0.93 to 0.94, and a sensitivity of 0.95. The observed specificity (ability to detect wake) was albeit lower, yet still in an acceptable range of 0.70 to 0.71 across all TIB conditions (</w:t>
      </w:r>
      <w:r w:rsidRPr="00AE7A2D">
        <w:rPr>
          <w:rFonts w:ascii="Arial" w:hAnsi="Arial" w:cs="Arial"/>
          <w:b/>
          <w:bCs/>
        </w:rPr>
        <w:t xml:space="preserve">Table </w:t>
      </w:r>
      <w:r w:rsidR="00044691">
        <w:rPr>
          <w:rFonts w:ascii="Arial" w:hAnsi="Arial" w:cs="Arial"/>
          <w:b/>
          <w:bCs/>
        </w:rPr>
        <w:t>5</w:t>
      </w:r>
      <w:r w:rsidRPr="00AE7A2D">
        <w:rPr>
          <w:rFonts w:ascii="Arial" w:hAnsi="Arial" w:cs="Arial"/>
        </w:rPr>
        <w:t>). </w:t>
      </w:r>
    </w:p>
    <w:p w14:paraId="25771204" w14:textId="77777777" w:rsidR="00AB70EF" w:rsidRPr="00AB70EF" w:rsidRDefault="00AB70EF" w:rsidP="00AB70EF">
      <w:pPr>
        <w:spacing w:line="480" w:lineRule="auto"/>
        <w:ind w:firstLine="720"/>
        <w:jc w:val="both"/>
        <w:rPr>
          <w:rFonts w:ascii="Arial" w:hAnsi="Arial" w:cs="Arial"/>
        </w:rPr>
      </w:pPr>
    </w:p>
    <w:p w14:paraId="701DB5FC" w14:textId="77777777" w:rsidR="00F86B69" w:rsidRDefault="00F86B69" w:rsidP="00887E7D">
      <w:pPr>
        <w:suppressLineNumbers/>
        <w:rPr>
          <w:rFonts w:ascii="Arial" w:hAnsi="Arial" w:cs="Arial"/>
          <w:b/>
          <w:sz w:val="22"/>
          <w:szCs w:val="20"/>
        </w:rPr>
      </w:pPr>
    </w:p>
    <w:p w14:paraId="019F014B" w14:textId="77777777" w:rsidR="000F79E3" w:rsidRDefault="000F79E3" w:rsidP="00887E7D">
      <w:pPr>
        <w:suppressLineNumbers/>
        <w:rPr>
          <w:rFonts w:ascii="Arial" w:hAnsi="Arial" w:cs="Arial"/>
          <w:b/>
          <w:sz w:val="22"/>
          <w:szCs w:val="20"/>
        </w:rPr>
      </w:pPr>
    </w:p>
    <w:p w14:paraId="68492CCD" w14:textId="77777777" w:rsidR="000F79E3" w:rsidRDefault="000F79E3" w:rsidP="00887E7D">
      <w:pPr>
        <w:suppressLineNumbers/>
        <w:rPr>
          <w:rFonts w:ascii="Arial" w:hAnsi="Arial" w:cs="Arial"/>
          <w:b/>
          <w:sz w:val="22"/>
          <w:szCs w:val="20"/>
        </w:rPr>
      </w:pPr>
    </w:p>
    <w:p w14:paraId="308D7670" w14:textId="77777777" w:rsidR="000F79E3" w:rsidRDefault="000F79E3" w:rsidP="00887E7D">
      <w:pPr>
        <w:suppressLineNumbers/>
        <w:rPr>
          <w:rFonts w:ascii="Arial" w:hAnsi="Arial" w:cs="Arial"/>
          <w:b/>
          <w:sz w:val="22"/>
          <w:szCs w:val="20"/>
        </w:rPr>
      </w:pPr>
    </w:p>
    <w:p w14:paraId="716EABC0" w14:textId="77777777" w:rsidR="000F79E3" w:rsidRDefault="000F79E3" w:rsidP="00887E7D">
      <w:pPr>
        <w:suppressLineNumbers/>
        <w:rPr>
          <w:rFonts w:ascii="Arial" w:hAnsi="Arial" w:cs="Arial"/>
          <w:b/>
          <w:sz w:val="22"/>
          <w:szCs w:val="20"/>
        </w:rPr>
      </w:pPr>
    </w:p>
    <w:p w14:paraId="046C05A7" w14:textId="77777777" w:rsidR="000F79E3" w:rsidRDefault="000F79E3" w:rsidP="00887E7D">
      <w:pPr>
        <w:suppressLineNumbers/>
        <w:rPr>
          <w:rFonts w:ascii="Arial" w:hAnsi="Arial" w:cs="Arial"/>
          <w:b/>
          <w:sz w:val="22"/>
          <w:szCs w:val="20"/>
        </w:rPr>
      </w:pPr>
    </w:p>
    <w:p w14:paraId="0400C655" w14:textId="77777777" w:rsidR="000F79E3" w:rsidRDefault="000F79E3" w:rsidP="00887E7D">
      <w:pPr>
        <w:suppressLineNumbers/>
        <w:rPr>
          <w:rFonts w:ascii="Arial" w:hAnsi="Arial" w:cs="Arial"/>
          <w:b/>
          <w:sz w:val="22"/>
          <w:szCs w:val="20"/>
        </w:rPr>
      </w:pPr>
    </w:p>
    <w:p w14:paraId="2D7C1B4E" w14:textId="77777777" w:rsidR="000F79E3" w:rsidRDefault="000F79E3" w:rsidP="00887E7D">
      <w:pPr>
        <w:suppressLineNumbers/>
        <w:rPr>
          <w:rFonts w:ascii="Arial" w:hAnsi="Arial" w:cs="Arial"/>
          <w:b/>
          <w:sz w:val="22"/>
          <w:szCs w:val="20"/>
        </w:rPr>
      </w:pPr>
    </w:p>
    <w:p w14:paraId="5E12A7F0" w14:textId="3F0A3E97" w:rsidR="00887E7D" w:rsidRPr="000851F5" w:rsidRDefault="00887E7D" w:rsidP="00887E7D">
      <w:pPr>
        <w:suppressLineNumbers/>
        <w:rPr>
          <w:rFonts w:ascii="Arial" w:hAnsi="Arial" w:cs="Arial"/>
          <w:b/>
          <w:szCs w:val="20"/>
        </w:rPr>
      </w:pPr>
      <w:r w:rsidRPr="000851F5">
        <w:rPr>
          <w:rFonts w:ascii="Arial" w:hAnsi="Arial" w:cs="Arial"/>
          <w:b/>
          <w:szCs w:val="20"/>
        </w:rPr>
        <w:t>Supplementary Tables</w:t>
      </w:r>
    </w:p>
    <w:p w14:paraId="0CC19907" w14:textId="77777777" w:rsidR="00887E7D" w:rsidRPr="000A33A5" w:rsidRDefault="00887E7D" w:rsidP="00887E7D">
      <w:pPr>
        <w:suppressLineNumbers/>
        <w:rPr>
          <w:rFonts w:ascii="Arial" w:hAnsi="Arial" w:cs="Arial"/>
          <w:b/>
          <w:sz w:val="20"/>
          <w:szCs w:val="20"/>
        </w:rPr>
      </w:pPr>
    </w:p>
    <w:p w14:paraId="2BEF389B" w14:textId="77777777" w:rsidR="005A5DED" w:rsidRPr="000A33A5" w:rsidRDefault="005A5DED" w:rsidP="005A5DED">
      <w:pPr>
        <w:suppressLineNumbers/>
        <w:jc w:val="both"/>
        <w:rPr>
          <w:rFonts w:ascii="Arial" w:hAnsi="Arial" w:cs="Arial"/>
          <w:b/>
          <w:sz w:val="20"/>
          <w:szCs w:val="20"/>
          <w:lang w:eastAsia="en-GB"/>
        </w:rPr>
      </w:pPr>
      <w:r w:rsidRPr="000A33A5">
        <w:rPr>
          <w:rFonts w:ascii="Arial" w:hAnsi="Arial" w:cs="Arial"/>
          <w:b/>
          <w:sz w:val="20"/>
          <w:szCs w:val="20"/>
          <w:lang w:eastAsia="en-GB"/>
        </w:rPr>
        <w:t>Table S1. Mean (SD) of TST biases, in minutes, from PSG of each device setting by sex, grouped by TIB recordings.</w:t>
      </w:r>
    </w:p>
    <w:tbl>
      <w:tblPr>
        <w:tblW w:w="52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753"/>
        <w:gridCol w:w="1753"/>
        <w:gridCol w:w="1753"/>
        <w:gridCol w:w="967"/>
        <w:gridCol w:w="1217"/>
      </w:tblGrid>
      <w:tr w:rsidR="005A5DED" w:rsidRPr="000A33A5" w14:paraId="18659988" w14:textId="77777777" w:rsidTr="008172B5">
        <w:trPr>
          <w:trHeight w:val="300"/>
        </w:trPr>
        <w:tc>
          <w:tcPr>
            <w:tcW w:w="1081" w:type="pct"/>
            <w:shd w:val="clear" w:color="auto" w:fill="FFFFFF" w:themeFill="background1"/>
            <w:noWrap/>
            <w:vAlign w:val="center"/>
            <w:hideMark/>
          </w:tcPr>
          <w:p w14:paraId="135B5D64"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331A78F4"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M10</w:t>
            </w:r>
          </w:p>
        </w:tc>
        <w:tc>
          <w:tcPr>
            <w:tcW w:w="923" w:type="pct"/>
            <w:shd w:val="clear" w:color="auto" w:fill="FFFFFF" w:themeFill="background1"/>
            <w:noWrap/>
            <w:vAlign w:val="center"/>
            <w:hideMark/>
          </w:tcPr>
          <w:p w14:paraId="199F0840"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H5</w:t>
            </w:r>
          </w:p>
        </w:tc>
        <w:tc>
          <w:tcPr>
            <w:tcW w:w="923" w:type="pct"/>
            <w:shd w:val="clear" w:color="auto" w:fill="FFFFFF" w:themeFill="background1"/>
            <w:noWrap/>
            <w:vAlign w:val="center"/>
            <w:hideMark/>
          </w:tcPr>
          <w:p w14:paraId="050C5067" w14:textId="77777777" w:rsidR="005A5DED" w:rsidRPr="000A33A5" w:rsidRDefault="005A5DED" w:rsidP="008172B5">
            <w:pPr>
              <w:jc w:val="both"/>
              <w:rPr>
                <w:rFonts w:ascii="Arial" w:hAnsi="Arial" w:cs="Arial"/>
                <w:sz w:val="20"/>
                <w:szCs w:val="20"/>
                <w:lang w:eastAsia="en-GB"/>
              </w:rPr>
            </w:pPr>
            <w:proofErr w:type="spellStart"/>
            <w:r w:rsidRPr="000A33A5">
              <w:rPr>
                <w:rFonts w:ascii="Arial" w:hAnsi="Arial" w:cs="Arial"/>
                <w:sz w:val="20"/>
                <w:szCs w:val="20"/>
                <w:lang w:eastAsia="en-GB"/>
              </w:rPr>
              <w:t>Oura</w:t>
            </w:r>
            <w:proofErr w:type="spellEnd"/>
          </w:p>
        </w:tc>
        <w:tc>
          <w:tcPr>
            <w:tcW w:w="509" w:type="pct"/>
            <w:shd w:val="clear" w:color="auto" w:fill="FFFFFF" w:themeFill="background1"/>
            <w:noWrap/>
            <w:vAlign w:val="center"/>
          </w:tcPr>
          <w:p w14:paraId="44752807"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xml:space="preserve">F </w:t>
            </w:r>
          </w:p>
        </w:tc>
        <w:tc>
          <w:tcPr>
            <w:tcW w:w="643" w:type="pct"/>
            <w:shd w:val="clear" w:color="auto" w:fill="FFFFFF" w:themeFill="background1"/>
            <w:noWrap/>
            <w:vAlign w:val="center"/>
            <w:hideMark/>
          </w:tcPr>
          <w:p w14:paraId="5D8D7F9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P</w:t>
            </w:r>
          </w:p>
        </w:tc>
      </w:tr>
      <w:tr w:rsidR="005A5DED" w:rsidRPr="000A33A5" w14:paraId="3AA8558F" w14:textId="77777777" w:rsidTr="008172B5">
        <w:trPr>
          <w:trHeight w:val="51"/>
        </w:trPr>
        <w:tc>
          <w:tcPr>
            <w:tcW w:w="1081" w:type="pct"/>
            <w:shd w:val="clear" w:color="auto" w:fill="FFFFFF" w:themeFill="background1"/>
            <w:noWrap/>
            <w:vAlign w:val="center"/>
            <w:hideMark/>
          </w:tcPr>
          <w:p w14:paraId="0CBFB4A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31830227"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09F65994"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4AD73A36"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3DE11357"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7EAFD5C1" w14:textId="77777777" w:rsidR="005A5DED" w:rsidRPr="000A33A5" w:rsidRDefault="005A5DED" w:rsidP="008172B5">
            <w:pPr>
              <w:jc w:val="both"/>
              <w:rPr>
                <w:rFonts w:ascii="Arial" w:hAnsi="Arial" w:cs="Arial"/>
                <w:sz w:val="20"/>
                <w:szCs w:val="20"/>
                <w:lang w:eastAsia="en-GB"/>
              </w:rPr>
            </w:pPr>
          </w:p>
        </w:tc>
      </w:tr>
      <w:tr w:rsidR="005A5DED" w:rsidRPr="000A33A5" w14:paraId="76EBA8BD" w14:textId="77777777" w:rsidTr="008172B5">
        <w:trPr>
          <w:trHeight w:val="300"/>
        </w:trPr>
        <w:tc>
          <w:tcPr>
            <w:tcW w:w="1081" w:type="pct"/>
            <w:shd w:val="clear" w:color="auto" w:fill="FFFFFF" w:themeFill="background1"/>
            <w:noWrap/>
            <w:vAlign w:val="center"/>
            <w:hideMark/>
          </w:tcPr>
          <w:p w14:paraId="66E71FF2"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6.5h TIB</w:t>
            </w:r>
          </w:p>
        </w:tc>
        <w:tc>
          <w:tcPr>
            <w:tcW w:w="923" w:type="pct"/>
            <w:shd w:val="clear" w:color="auto" w:fill="FFFFFF" w:themeFill="background1"/>
            <w:noWrap/>
            <w:vAlign w:val="center"/>
            <w:hideMark/>
          </w:tcPr>
          <w:p w14:paraId="4BC16E51"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56B1E660"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01DFDFA0"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04929C13"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077A390F" w14:textId="77777777" w:rsidR="005A5DED" w:rsidRPr="000A33A5" w:rsidRDefault="005A5DED" w:rsidP="008172B5">
            <w:pPr>
              <w:jc w:val="both"/>
              <w:rPr>
                <w:rFonts w:ascii="Arial" w:hAnsi="Arial" w:cs="Arial"/>
                <w:sz w:val="20"/>
                <w:szCs w:val="20"/>
                <w:lang w:eastAsia="en-GB"/>
              </w:rPr>
            </w:pPr>
          </w:p>
        </w:tc>
      </w:tr>
      <w:tr w:rsidR="005A5DED" w:rsidRPr="000A33A5" w14:paraId="28EE57C0" w14:textId="77777777" w:rsidTr="008172B5">
        <w:trPr>
          <w:trHeight w:val="300"/>
        </w:trPr>
        <w:tc>
          <w:tcPr>
            <w:tcW w:w="1081" w:type="pct"/>
            <w:shd w:val="clear" w:color="auto" w:fill="FFFFFF" w:themeFill="background1"/>
            <w:noWrap/>
            <w:vAlign w:val="center"/>
            <w:hideMark/>
          </w:tcPr>
          <w:p w14:paraId="49B5435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Female (n=12)</w:t>
            </w:r>
          </w:p>
        </w:tc>
        <w:tc>
          <w:tcPr>
            <w:tcW w:w="923" w:type="pct"/>
            <w:shd w:val="clear" w:color="auto" w:fill="FFFFFF" w:themeFill="background1"/>
            <w:noWrap/>
            <w:vAlign w:val="center"/>
            <w:hideMark/>
          </w:tcPr>
          <w:p w14:paraId="49E61E87"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-24.21 (16.93)</w:t>
            </w:r>
          </w:p>
        </w:tc>
        <w:tc>
          <w:tcPr>
            <w:tcW w:w="923" w:type="pct"/>
            <w:shd w:val="clear" w:color="auto" w:fill="FFFFFF" w:themeFill="background1"/>
            <w:noWrap/>
            <w:vAlign w:val="center"/>
            <w:hideMark/>
          </w:tcPr>
          <w:p w14:paraId="1C2DEF6C"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-2.42 (13.91)</w:t>
            </w:r>
          </w:p>
        </w:tc>
        <w:tc>
          <w:tcPr>
            <w:tcW w:w="923" w:type="pct"/>
            <w:shd w:val="clear" w:color="auto" w:fill="FFFFFF" w:themeFill="background1"/>
            <w:noWrap/>
            <w:vAlign w:val="center"/>
            <w:hideMark/>
          </w:tcPr>
          <w:p w14:paraId="2946B590"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-31.60 (21.61)</w:t>
            </w:r>
          </w:p>
        </w:tc>
        <w:tc>
          <w:tcPr>
            <w:tcW w:w="509" w:type="pct"/>
            <w:shd w:val="clear" w:color="auto" w:fill="FFFFFF" w:themeFill="background1"/>
            <w:noWrap/>
            <w:vAlign w:val="center"/>
            <w:hideMark/>
          </w:tcPr>
          <w:p w14:paraId="18B0190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0.293</w:t>
            </w:r>
          </w:p>
        </w:tc>
        <w:tc>
          <w:tcPr>
            <w:tcW w:w="643" w:type="pct"/>
            <w:shd w:val="clear" w:color="auto" w:fill="FFFFFF" w:themeFill="background1"/>
            <w:noWrap/>
            <w:vAlign w:val="center"/>
            <w:hideMark/>
          </w:tcPr>
          <w:p w14:paraId="36BDC2FE"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0.748</w:t>
            </w:r>
          </w:p>
        </w:tc>
      </w:tr>
      <w:tr w:rsidR="005A5DED" w:rsidRPr="000A33A5" w14:paraId="18CBC259" w14:textId="77777777" w:rsidTr="008172B5">
        <w:trPr>
          <w:trHeight w:val="300"/>
        </w:trPr>
        <w:tc>
          <w:tcPr>
            <w:tcW w:w="1081" w:type="pct"/>
            <w:shd w:val="clear" w:color="auto" w:fill="FFFFFF" w:themeFill="background1"/>
            <w:noWrap/>
            <w:vAlign w:val="center"/>
            <w:hideMark/>
          </w:tcPr>
          <w:p w14:paraId="5AA9338B"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Male (n=10)</w:t>
            </w:r>
          </w:p>
        </w:tc>
        <w:tc>
          <w:tcPr>
            <w:tcW w:w="923" w:type="pct"/>
            <w:shd w:val="clear" w:color="auto" w:fill="FFFFFF" w:themeFill="background1"/>
            <w:noWrap/>
            <w:vAlign w:val="center"/>
            <w:hideMark/>
          </w:tcPr>
          <w:p w14:paraId="282B50B0"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-27.77 (9.59)</w:t>
            </w:r>
          </w:p>
        </w:tc>
        <w:tc>
          <w:tcPr>
            <w:tcW w:w="923" w:type="pct"/>
            <w:shd w:val="clear" w:color="auto" w:fill="FFFFFF" w:themeFill="background1"/>
            <w:noWrap/>
            <w:vAlign w:val="center"/>
            <w:hideMark/>
          </w:tcPr>
          <w:p w14:paraId="20C326B6"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-1.90 (13.40)</w:t>
            </w:r>
          </w:p>
        </w:tc>
        <w:tc>
          <w:tcPr>
            <w:tcW w:w="923" w:type="pct"/>
            <w:shd w:val="clear" w:color="auto" w:fill="FFFFFF" w:themeFill="background1"/>
            <w:noWrap/>
            <w:vAlign w:val="center"/>
            <w:hideMark/>
          </w:tcPr>
          <w:p w14:paraId="79B0E57C"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-34.16 (10.17)</w:t>
            </w:r>
          </w:p>
        </w:tc>
        <w:tc>
          <w:tcPr>
            <w:tcW w:w="509" w:type="pct"/>
            <w:shd w:val="clear" w:color="auto" w:fill="FFFFFF" w:themeFill="background1"/>
            <w:noWrap/>
            <w:vAlign w:val="center"/>
            <w:hideMark/>
          </w:tcPr>
          <w:p w14:paraId="1260D04B"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272385AB" w14:textId="77777777" w:rsidR="005A5DED" w:rsidRPr="000A33A5" w:rsidRDefault="005A5DED" w:rsidP="008172B5">
            <w:pPr>
              <w:jc w:val="both"/>
              <w:rPr>
                <w:rFonts w:ascii="Arial" w:hAnsi="Arial" w:cs="Arial"/>
                <w:sz w:val="20"/>
                <w:szCs w:val="20"/>
                <w:lang w:eastAsia="en-GB"/>
              </w:rPr>
            </w:pPr>
          </w:p>
        </w:tc>
      </w:tr>
      <w:tr w:rsidR="005A5DED" w:rsidRPr="000A33A5" w14:paraId="728B5FA1" w14:textId="77777777" w:rsidTr="008172B5">
        <w:trPr>
          <w:trHeight w:val="80"/>
        </w:trPr>
        <w:tc>
          <w:tcPr>
            <w:tcW w:w="1081" w:type="pct"/>
            <w:shd w:val="clear" w:color="auto" w:fill="FFFFFF" w:themeFill="background1"/>
            <w:noWrap/>
            <w:vAlign w:val="center"/>
            <w:hideMark/>
          </w:tcPr>
          <w:p w14:paraId="5BEB7FE9"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7496F498"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5E325B16"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4CDD3C2C"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5E5A5460"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4A63D266" w14:textId="77777777" w:rsidR="005A5DED" w:rsidRPr="000A33A5" w:rsidRDefault="005A5DED" w:rsidP="008172B5">
            <w:pPr>
              <w:jc w:val="both"/>
              <w:rPr>
                <w:rFonts w:ascii="Arial" w:hAnsi="Arial" w:cs="Arial"/>
                <w:sz w:val="20"/>
                <w:szCs w:val="20"/>
                <w:lang w:eastAsia="en-GB"/>
              </w:rPr>
            </w:pPr>
          </w:p>
        </w:tc>
      </w:tr>
      <w:tr w:rsidR="005A5DED" w:rsidRPr="000A33A5" w14:paraId="480A7AB5" w14:textId="77777777" w:rsidTr="008172B5">
        <w:trPr>
          <w:trHeight w:val="300"/>
        </w:trPr>
        <w:tc>
          <w:tcPr>
            <w:tcW w:w="1081" w:type="pct"/>
            <w:shd w:val="clear" w:color="auto" w:fill="FFFFFF" w:themeFill="background1"/>
            <w:noWrap/>
            <w:vAlign w:val="center"/>
            <w:hideMark/>
          </w:tcPr>
          <w:p w14:paraId="67E095C0"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xml:space="preserve">8h TIB </w:t>
            </w:r>
          </w:p>
        </w:tc>
        <w:tc>
          <w:tcPr>
            <w:tcW w:w="923" w:type="pct"/>
            <w:shd w:val="clear" w:color="auto" w:fill="FFFFFF" w:themeFill="background1"/>
            <w:noWrap/>
            <w:vAlign w:val="center"/>
            <w:hideMark/>
          </w:tcPr>
          <w:p w14:paraId="2DDDE71B"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34F7B00E"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1D29DA3C"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69A5FEC5"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202BB6A4" w14:textId="77777777" w:rsidR="005A5DED" w:rsidRPr="000A33A5" w:rsidRDefault="005A5DED" w:rsidP="008172B5">
            <w:pPr>
              <w:jc w:val="both"/>
              <w:rPr>
                <w:rFonts w:ascii="Arial" w:hAnsi="Arial" w:cs="Arial"/>
                <w:sz w:val="20"/>
                <w:szCs w:val="20"/>
                <w:lang w:eastAsia="en-GB"/>
              </w:rPr>
            </w:pPr>
          </w:p>
        </w:tc>
      </w:tr>
      <w:tr w:rsidR="005A5DED" w:rsidRPr="000A33A5" w14:paraId="79AC0054" w14:textId="77777777" w:rsidTr="008172B5">
        <w:trPr>
          <w:trHeight w:val="300"/>
        </w:trPr>
        <w:tc>
          <w:tcPr>
            <w:tcW w:w="1081" w:type="pct"/>
            <w:shd w:val="clear" w:color="auto" w:fill="FFFFFF" w:themeFill="background1"/>
            <w:noWrap/>
            <w:vAlign w:val="center"/>
            <w:hideMark/>
          </w:tcPr>
          <w:p w14:paraId="55125662"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Female (n=15)</w:t>
            </w:r>
          </w:p>
        </w:tc>
        <w:tc>
          <w:tcPr>
            <w:tcW w:w="923" w:type="pct"/>
            <w:shd w:val="clear" w:color="auto" w:fill="FFFFFF" w:themeFill="background1"/>
            <w:noWrap/>
            <w:vAlign w:val="center"/>
            <w:hideMark/>
          </w:tcPr>
          <w:p w14:paraId="3B88C545"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-27.92 (24.07)</w:t>
            </w:r>
          </w:p>
        </w:tc>
        <w:tc>
          <w:tcPr>
            <w:tcW w:w="923" w:type="pct"/>
            <w:shd w:val="clear" w:color="auto" w:fill="FFFFFF" w:themeFill="background1"/>
            <w:noWrap/>
            <w:vAlign w:val="center"/>
            <w:hideMark/>
          </w:tcPr>
          <w:p w14:paraId="0904AF7A" w14:textId="77777777" w:rsidR="005A5DED" w:rsidRPr="00892C75" w:rsidRDefault="005A5DED" w:rsidP="008172B5">
            <w:pPr>
              <w:jc w:val="both"/>
              <w:rPr>
                <w:rFonts w:ascii="Arial" w:hAnsi="Arial" w:cs="Arial"/>
                <w:sz w:val="20"/>
                <w:szCs w:val="20"/>
                <w:lang w:eastAsia="en-GB"/>
              </w:rPr>
            </w:pPr>
            <w:r w:rsidRPr="00892C75">
              <w:rPr>
                <w:rFonts w:ascii="Arial" w:hAnsi="Arial" w:cs="Arial"/>
                <w:sz w:val="20"/>
                <w:szCs w:val="20"/>
                <w:lang w:eastAsia="en-GB"/>
              </w:rPr>
              <w:t>-2.74 (16.74)</w:t>
            </w:r>
          </w:p>
        </w:tc>
        <w:tc>
          <w:tcPr>
            <w:tcW w:w="923" w:type="pct"/>
            <w:shd w:val="clear" w:color="auto" w:fill="FFFFFF" w:themeFill="background1"/>
            <w:noWrap/>
            <w:vAlign w:val="center"/>
            <w:hideMark/>
          </w:tcPr>
          <w:p w14:paraId="13CC92C5" w14:textId="77777777" w:rsidR="005A5DED" w:rsidRPr="00892C75" w:rsidRDefault="005A5DED" w:rsidP="008172B5">
            <w:pPr>
              <w:jc w:val="both"/>
              <w:rPr>
                <w:rFonts w:ascii="Arial" w:hAnsi="Arial" w:cs="Arial"/>
                <w:sz w:val="20"/>
                <w:szCs w:val="20"/>
                <w:lang w:eastAsia="en-GB"/>
              </w:rPr>
            </w:pPr>
            <w:r w:rsidRPr="00892C75">
              <w:rPr>
                <w:rFonts w:ascii="Arial" w:hAnsi="Arial" w:cs="Arial"/>
                <w:sz w:val="20"/>
                <w:szCs w:val="20"/>
                <w:lang w:eastAsia="en-GB"/>
              </w:rPr>
              <w:t>-39.74 (15.80)</w:t>
            </w:r>
          </w:p>
        </w:tc>
        <w:tc>
          <w:tcPr>
            <w:tcW w:w="509" w:type="pct"/>
            <w:shd w:val="clear" w:color="auto" w:fill="FFFFFF" w:themeFill="background1"/>
            <w:noWrap/>
            <w:vAlign w:val="center"/>
            <w:hideMark/>
          </w:tcPr>
          <w:p w14:paraId="2A2752EE"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0.134</w:t>
            </w:r>
          </w:p>
        </w:tc>
        <w:tc>
          <w:tcPr>
            <w:tcW w:w="643" w:type="pct"/>
            <w:shd w:val="clear" w:color="auto" w:fill="FFFFFF" w:themeFill="background1"/>
            <w:noWrap/>
            <w:vAlign w:val="center"/>
            <w:hideMark/>
          </w:tcPr>
          <w:p w14:paraId="41A53340"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0.875</w:t>
            </w:r>
          </w:p>
        </w:tc>
      </w:tr>
      <w:tr w:rsidR="005A5DED" w:rsidRPr="000A33A5" w14:paraId="61D6EDD5" w14:textId="77777777" w:rsidTr="008172B5">
        <w:trPr>
          <w:trHeight w:val="300"/>
        </w:trPr>
        <w:tc>
          <w:tcPr>
            <w:tcW w:w="1081" w:type="pct"/>
            <w:shd w:val="clear" w:color="auto" w:fill="FFFFFF" w:themeFill="background1"/>
            <w:noWrap/>
            <w:vAlign w:val="center"/>
            <w:hideMark/>
          </w:tcPr>
          <w:p w14:paraId="56958DC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Male (n=13)</w:t>
            </w:r>
          </w:p>
        </w:tc>
        <w:tc>
          <w:tcPr>
            <w:tcW w:w="923" w:type="pct"/>
            <w:shd w:val="clear" w:color="auto" w:fill="FFFFFF" w:themeFill="background1"/>
            <w:noWrap/>
            <w:vAlign w:val="center"/>
            <w:hideMark/>
          </w:tcPr>
          <w:p w14:paraId="426DD1E8"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-40.18 (20.14)</w:t>
            </w:r>
          </w:p>
        </w:tc>
        <w:tc>
          <w:tcPr>
            <w:tcW w:w="923" w:type="pct"/>
            <w:shd w:val="clear" w:color="auto" w:fill="FFFFFF" w:themeFill="background1"/>
            <w:noWrap/>
            <w:vAlign w:val="center"/>
            <w:hideMark/>
          </w:tcPr>
          <w:p w14:paraId="0A1A825B" w14:textId="77777777" w:rsidR="005A5DED" w:rsidRPr="00892C75" w:rsidRDefault="005A5DED" w:rsidP="008172B5">
            <w:pPr>
              <w:jc w:val="both"/>
              <w:rPr>
                <w:rFonts w:ascii="Arial" w:hAnsi="Arial" w:cs="Arial"/>
                <w:sz w:val="20"/>
                <w:szCs w:val="20"/>
                <w:lang w:eastAsia="en-GB"/>
              </w:rPr>
            </w:pPr>
            <w:r w:rsidRPr="00892C75">
              <w:rPr>
                <w:rFonts w:ascii="Arial" w:hAnsi="Arial" w:cs="Arial"/>
                <w:sz w:val="20"/>
                <w:szCs w:val="20"/>
                <w:lang w:eastAsia="en-GB"/>
              </w:rPr>
              <w:t>-13.11 (13.02)</w:t>
            </w:r>
          </w:p>
        </w:tc>
        <w:tc>
          <w:tcPr>
            <w:tcW w:w="923" w:type="pct"/>
            <w:shd w:val="clear" w:color="auto" w:fill="FFFFFF" w:themeFill="background1"/>
            <w:noWrap/>
            <w:vAlign w:val="center"/>
            <w:hideMark/>
          </w:tcPr>
          <w:p w14:paraId="3607A511" w14:textId="77777777" w:rsidR="005A5DED" w:rsidRPr="00892C75" w:rsidRDefault="005A5DED" w:rsidP="008172B5">
            <w:pPr>
              <w:jc w:val="both"/>
              <w:rPr>
                <w:rFonts w:ascii="Arial" w:hAnsi="Arial" w:cs="Arial"/>
                <w:sz w:val="20"/>
                <w:szCs w:val="20"/>
                <w:lang w:eastAsia="en-GB"/>
              </w:rPr>
            </w:pPr>
            <w:r w:rsidRPr="00892C75">
              <w:rPr>
                <w:rFonts w:ascii="Arial" w:hAnsi="Arial" w:cs="Arial"/>
                <w:sz w:val="20"/>
                <w:szCs w:val="20"/>
                <w:lang w:eastAsia="en-GB"/>
              </w:rPr>
              <w:t>-53.42 (21.76)</w:t>
            </w:r>
          </w:p>
        </w:tc>
        <w:tc>
          <w:tcPr>
            <w:tcW w:w="509" w:type="pct"/>
            <w:shd w:val="clear" w:color="auto" w:fill="FFFFFF" w:themeFill="background1"/>
            <w:noWrap/>
            <w:vAlign w:val="center"/>
            <w:hideMark/>
          </w:tcPr>
          <w:p w14:paraId="5E544601"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620E837B" w14:textId="77777777" w:rsidR="005A5DED" w:rsidRPr="000A33A5" w:rsidRDefault="005A5DED" w:rsidP="008172B5">
            <w:pPr>
              <w:jc w:val="both"/>
              <w:rPr>
                <w:rFonts w:ascii="Arial" w:hAnsi="Arial" w:cs="Arial"/>
                <w:sz w:val="20"/>
                <w:szCs w:val="20"/>
                <w:lang w:eastAsia="en-GB"/>
              </w:rPr>
            </w:pPr>
          </w:p>
        </w:tc>
      </w:tr>
      <w:tr w:rsidR="005A5DED" w:rsidRPr="000A33A5" w14:paraId="6C8931E9" w14:textId="77777777" w:rsidTr="008172B5">
        <w:trPr>
          <w:trHeight w:val="80"/>
        </w:trPr>
        <w:tc>
          <w:tcPr>
            <w:tcW w:w="1081" w:type="pct"/>
            <w:shd w:val="clear" w:color="auto" w:fill="FFFFFF" w:themeFill="background1"/>
            <w:noWrap/>
            <w:vAlign w:val="center"/>
            <w:hideMark/>
          </w:tcPr>
          <w:p w14:paraId="0D6EF0A7"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7412FC33"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17621FF3"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2A7064A7"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34D21710"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7ACB83B8" w14:textId="77777777" w:rsidR="005A5DED" w:rsidRPr="000A33A5" w:rsidRDefault="005A5DED" w:rsidP="008172B5">
            <w:pPr>
              <w:jc w:val="both"/>
              <w:rPr>
                <w:rFonts w:ascii="Arial" w:hAnsi="Arial" w:cs="Arial"/>
                <w:sz w:val="20"/>
                <w:szCs w:val="20"/>
                <w:lang w:eastAsia="en-GB"/>
              </w:rPr>
            </w:pPr>
          </w:p>
        </w:tc>
      </w:tr>
      <w:tr w:rsidR="005A5DED" w:rsidRPr="000A33A5" w14:paraId="18FE843A" w14:textId="77777777" w:rsidTr="008172B5">
        <w:trPr>
          <w:trHeight w:val="300"/>
        </w:trPr>
        <w:tc>
          <w:tcPr>
            <w:tcW w:w="1081" w:type="pct"/>
            <w:shd w:val="clear" w:color="auto" w:fill="FFFFFF" w:themeFill="background1"/>
            <w:noWrap/>
            <w:vAlign w:val="center"/>
            <w:hideMark/>
          </w:tcPr>
          <w:p w14:paraId="664CB273"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9h TIB</w:t>
            </w:r>
          </w:p>
        </w:tc>
        <w:tc>
          <w:tcPr>
            <w:tcW w:w="923" w:type="pct"/>
            <w:shd w:val="clear" w:color="auto" w:fill="FFFFFF" w:themeFill="background1"/>
            <w:noWrap/>
            <w:vAlign w:val="center"/>
            <w:hideMark/>
          </w:tcPr>
          <w:p w14:paraId="2766DAE4"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2FE832FF" w14:textId="77777777" w:rsidR="005A5DED" w:rsidRPr="000A33A5" w:rsidRDefault="005A5DED" w:rsidP="008172B5">
            <w:pPr>
              <w:jc w:val="both"/>
              <w:rPr>
                <w:rFonts w:ascii="Arial" w:hAnsi="Arial" w:cs="Arial"/>
                <w:sz w:val="20"/>
                <w:szCs w:val="20"/>
                <w:lang w:eastAsia="en-GB"/>
              </w:rPr>
            </w:pPr>
          </w:p>
        </w:tc>
        <w:tc>
          <w:tcPr>
            <w:tcW w:w="923" w:type="pct"/>
            <w:shd w:val="clear" w:color="auto" w:fill="FFFFFF" w:themeFill="background1"/>
            <w:noWrap/>
            <w:vAlign w:val="center"/>
            <w:hideMark/>
          </w:tcPr>
          <w:p w14:paraId="79F93620" w14:textId="77777777" w:rsidR="005A5DED" w:rsidRPr="000A33A5" w:rsidRDefault="005A5DED" w:rsidP="008172B5">
            <w:pPr>
              <w:jc w:val="both"/>
              <w:rPr>
                <w:rFonts w:ascii="Arial" w:hAnsi="Arial" w:cs="Arial"/>
                <w:sz w:val="20"/>
                <w:szCs w:val="20"/>
                <w:lang w:eastAsia="en-GB"/>
              </w:rPr>
            </w:pPr>
          </w:p>
        </w:tc>
        <w:tc>
          <w:tcPr>
            <w:tcW w:w="509" w:type="pct"/>
            <w:shd w:val="clear" w:color="auto" w:fill="FFFFFF" w:themeFill="background1"/>
            <w:noWrap/>
            <w:vAlign w:val="center"/>
            <w:hideMark/>
          </w:tcPr>
          <w:p w14:paraId="689E737E" w14:textId="77777777" w:rsidR="005A5DED" w:rsidRPr="000A33A5" w:rsidRDefault="005A5DED" w:rsidP="008172B5">
            <w:pPr>
              <w:jc w:val="both"/>
              <w:rPr>
                <w:rFonts w:ascii="Arial" w:hAnsi="Arial" w:cs="Arial"/>
                <w:sz w:val="20"/>
                <w:szCs w:val="20"/>
                <w:lang w:eastAsia="en-GB"/>
              </w:rPr>
            </w:pPr>
          </w:p>
        </w:tc>
        <w:tc>
          <w:tcPr>
            <w:tcW w:w="643" w:type="pct"/>
            <w:shd w:val="clear" w:color="auto" w:fill="FFFFFF" w:themeFill="background1"/>
            <w:noWrap/>
            <w:vAlign w:val="center"/>
            <w:hideMark/>
          </w:tcPr>
          <w:p w14:paraId="21C18B02" w14:textId="77777777" w:rsidR="005A5DED" w:rsidRPr="000A33A5" w:rsidRDefault="005A5DED" w:rsidP="008172B5">
            <w:pPr>
              <w:jc w:val="both"/>
              <w:rPr>
                <w:rFonts w:ascii="Arial" w:hAnsi="Arial" w:cs="Arial"/>
                <w:sz w:val="20"/>
                <w:szCs w:val="20"/>
                <w:lang w:eastAsia="en-GB"/>
              </w:rPr>
            </w:pPr>
          </w:p>
        </w:tc>
      </w:tr>
      <w:tr w:rsidR="005A5DED" w:rsidRPr="000A33A5" w14:paraId="032BEA87" w14:textId="77777777" w:rsidTr="008172B5">
        <w:trPr>
          <w:trHeight w:val="300"/>
        </w:trPr>
        <w:tc>
          <w:tcPr>
            <w:tcW w:w="1081" w:type="pct"/>
            <w:shd w:val="clear" w:color="auto" w:fill="FFFFFF" w:themeFill="background1"/>
            <w:noWrap/>
            <w:vAlign w:val="center"/>
            <w:hideMark/>
          </w:tcPr>
          <w:p w14:paraId="772356E5"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Female (n=28)</w:t>
            </w:r>
          </w:p>
        </w:tc>
        <w:tc>
          <w:tcPr>
            <w:tcW w:w="923" w:type="pct"/>
            <w:shd w:val="clear" w:color="auto" w:fill="FFFFFF" w:themeFill="background1"/>
            <w:noWrap/>
            <w:vAlign w:val="center"/>
            <w:hideMark/>
          </w:tcPr>
          <w:p w14:paraId="21C98761"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-31.14 (18.87)</w:t>
            </w:r>
          </w:p>
        </w:tc>
        <w:tc>
          <w:tcPr>
            <w:tcW w:w="923" w:type="pct"/>
            <w:shd w:val="clear" w:color="auto" w:fill="FFFFFF" w:themeFill="background1"/>
            <w:noWrap/>
            <w:vAlign w:val="center"/>
            <w:hideMark/>
          </w:tcPr>
          <w:p w14:paraId="4B5B5533"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-3.65 (16.74)</w:t>
            </w:r>
          </w:p>
        </w:tc>
        <w:tc>
          <w:tcPr>
            <w:tcW w:w="923" w:type="pct"/>
            <w:shd w:val="clear" w:color="auto" w:fill="FFFFFF" w:themeFill="background1"/>
            <w:noWrap/>
            <w:vAlign w:val="center"/>
            <w:hideMark/>
          </w:tcPr>
          <w:p w14:paraId="09E071E1"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-46.66 (23.80)</w:t>
            </w:r>
          </w:p>
        </w:tc>
        <w:tc>
          <w:tcPr>
            <w:tcW w:w="509" w:type="pct"/>
            <w:shd w:val="clear" w:color="auto" w:fill="FFFFFF" w:themeFill="background1"/>
            <w:noWrap/>
            <w:vAlign w:val="center"/>
            <w:hideMark/>
          </w:tcPr>
          <w:p w14:paraId="027D6AE2"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0.33</w:t>
            </w:r>
          </w:p>
        </w:tc>
        <w:tc>
          <w:tcPr>
            <w:tcW w:w="643" w:type="pct"/>
            <w:shd w:val="clear" w:color="auto" w:fill="FFFFFF" w:themeFill="background1"/>
            <w:noWrap/>
            <w:vAlign w:val="center"/>
            <w:hideMark/>
          </w:tcPr>
          <w:p w14:paraId="2079FEAD"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0.632</w:t>
            </w:r>
          </w:p>
        </w:tc>
      </w:tr>
      <w:tr w:rsidR="005A5DED" w:rsidRPr="000A33A5" w14:paraId="1550389C" w14:textId="77777777" w:rsidTr="008172B5">
        <w:trPr>
          <w:trHeight w:val="300"/>
        </w:trPr>
        <w:tc>
          <w:tcPr>
            <w:tcW w:w="1081" w:type="pct"/>
            <w:tcBorders>
              <w:bottom w:val="single" w:sz="4" w:space="0" w:color="auto"/>
            </w:tcBorders>
            <w:shd w:val="clear" w:color="auto" w:fill="FFFFFF" w:themeFill="background1"/>
            <w:noWrap/>
            <w:vAlign w:val="center"/>
            <w:hideMark/>
          </w:tcPr>
          <w:p w14:paraId="46D0DF96"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Male (n=24)</w:t>
            </w:r>
          </w:p>
        </w:tc>
        <w:tc>
          <w:tcPr>
            <w:tcW w:w="923" w:type="pct"/>
            <w:tcBorders>
              <w:bottom w:val="single" w:sz="4" w:space="0" w:color="auto"/>
            </w:tcBorders>
            <w:shd w:val="clear" w:color="auto" w:fill="FFFFFF" w:themeFill="background1"/>
            <w:noWrap/>
            <w:vAlign w:val="center"/>
            <w:hideMark/>
          </w:tcPr>
          <w:p w14:paraId="561E4D38"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-37.03 (19.60)</w:t>
            </w:r>
          </w:p>
        </w:tc>
        <w:tc>
          <w:tcPr>
            <w:tcW w:w="923" w:type="pct"/>
            <w:tcBorders>
              <w:bottom w:val="single" w:sz="4" w:space="0" w:color="auto"/>
            </w:tcBorders>
            <w:shd w:val="clear" w:color="auto" w:fill="FFFFFF" w:themeFill="background1"/>
            <w:noWrap/>
            <w:vAlign w:val="center"/>
            <w:hideMark/>
          </w:tcPr>
          <w:p w14:paraId="63853203"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-7.24 (19.10)</w:t>
            </w:r>
          </w:p>
        </w:tc>
        <w:tc>
          <w:tcPr>
            <w:tcW w:w="923" w:type="pct"/>
            <w:tcBorders>
              <w:bottom w:val="single" w:sz="4" w:space="0" w:color="auto"/>
            </w:tcBorders>
            <w:shd w:val="clear" w:color="auto" w:fill="FFFFFF" w:themeFill="background1"/>
            <w:noWrap/>
            <w:vAlign w:val="center"/>
            <w:hideMark/>
          </w:tcPr>
          <w:p w14:paraId="07DC80AC" w14:textId="77777777" w:rsidR="005A5DED" w:rsidRPr="000A33A5" w:rsidRDefault="005A5DED" w:rsidP="008172B5">
            <w:pPr>
              <w:jc w:val="both"/>
              <w:rPr>
                <w:rFonts w:ascii="Arial" w:hAnsi="Arial" w:cs="Arial"/>
                <w:sz w:val="20"/>
                <w:szCs w:val="20"/>
                <w:lang w:eastAsia="en-GB"/>
              </w:rPr>
            </w:pPr>
            <w:r w:rsidRPr="000A33A5">
              <w:rPr>
                <w:rFonts w:ascii="Arial" w:hAnsi="Arial" w:cs="Arial"/>
                <w:sz w:val="20"/>
                <w:szCs w:val="20"/>
                <w:lang w:eastAsia="en-GB"/>
              </w:rPr>
              <w:t>-47.96 (25.99)</w:t>
            </w:r>
          </w:p>
        </w:tc>
        <w:tc>
          <w:tcPr>
            <w:tcW w:w="509" w:type="pct"/>
            <w:tcBorders>
              <w:bottom w:val="single" w:sz="4" w:space="0" w:color="auto"/>
            </w:tcBorders>
            <w:shd w:val="clear" w:color="auto" w:fill="FFFFFF" w:themeFill="background1"/>
            <w:noWrap/>
            <w:vAlign w:val="center"/>
            <w:hideMark/>
          </w:tcPr>
          <w:p w14:paraId="31410952" w14:textId="77777777" w:rsidR="005A5DED" w:rsidRPr="000A33A5" w:rsidRDefault="005A5DED" w:rsidP="008172B5">
            <w:pPr>
              <w:jc w:val="both"/>
              <w:rPr>
                <w:rFonts w:ascii="Arial" w:hAnsi="Arial" w:cs="Arial"/>
                <w:sz w:val="20"/>
                <w:szCs w:val="20"/>
                <w:lang w:eastAsia="en-GB"/>
              </w:rPr>
            </w:pPr>
          </w:p>
        </w:tc>
        <w:tc>
          <w:tcPr>
            <w:tcW w:w="643" w:type="pct"/>
            <w:tcBorders>
              <w:bottom w:val="single" w:sz="4" w:space="0" w:color="auto"/>
            </w:tcBorders>
            <w:shd w:val="clear" w:color="auto" w:fill="FFFFFF" w:themeFill="background1"/>
            <w:noWrap/>
            <w:vAlign w:val="center"/>
            <w:hideMark/>
          </w:tcPr>
          <w:p w14:paraId="270F6987" w14:textId="77777777" w:rsidR="005A5DED" w:rsidRPr="000A33A5" w:rsidRDefault="005A5DED" w:rsidP="008172B5">
            <w:pPr>
              <w:jc w:val="both"/>
              <w:rPr>
                <w:rFonts w:ascii="Arial" w:hAnsi="Arial" w:cs="Arial"/>
                <w:sz w:val="20"/>
                <w:szCs w:val="20"/>
                <w:lang w:eastAsia="en-GB"/>
              </w:rPr>
            </w:pPr>
          </w:p>
        </w:tc>
      </w:tr>
    </w:tbl>
    <w:p w14:paraId="419886F9" w14:textId="77777777" w:rsidR="005A5DED" w:rsidRPr="00044691" w:rsidRDefault="005A5DED" w:rsidP="005A5DED">
      <w:pPr>
        <w:suppressLineNumbers/>
        <w:jc w:val="both"/>
        <w:rPr>
          <w:rFonts w:ascii="Arial" w:hAnsi="Arial" w:cs="Arial"/>
          <w:color w:val="4472C4" w:themeColor="accent1"/>
          <w:sz w:val="20"/>
          <w:szCs w:val="20"/>
          <w:lang w:eastAsia="en-GB"/>
        </w:rPr>
      </w:pPr>
      <w:r w:rsidRPr="000A33A5">
        <w:rPr>
          <w:rFonts w:ascii="Arial" w:hAnsi="Arial" w:cs="Arial"/>
          <w:sz w:val="20"/>
          <w:szCs w:val="20"/>
          <w:lang w:eastAsia="en-GB"/>
        </w:rPr>
        <w:t xml:space="preserve">F-values of Device × Sex interactions are indicated. </w:t>
      </w:r>
      <w:r w:rsidRPr="00044691">
        <w:rPr>
          <w:rFonts w:ascii="Arial" w:hAnsi="Arial" w:cs="Arial"/>
          <w:color w:val="4472C4" w:themeColor="accent1"/>
          <w:sz w:val="20"/>
          <w:szCs w:val="20"/>
          <w:lang w:eastAsia="en-GB"/>
        </w:rPr>
        <w:t>Main effect of Sex was trending towards significance in the 8h TIB condition, P = 0.061.</w:t>
      </w:r>
    </w:p>
    <w:p w14:paraId="137ED12E" w14:textId="77777777" w:rsidR="005A5DED" w:rsidRPr="000A33A5" w:rsidRDefault="005A5DED" w:rsidP="005A5DED">
      <w:pPr>
        <w:suppressLineNumbers/>
        <w:jc w:val="both"/>
        <w:rPr>
          <w:rFonts w:ascii="Arial" w:hAnsi="Arial" w:cs="Arial"/>
          <w:sz w:val="20"/>
          <w:szCs w:val="20"/>
          <w:lang w:eastAsia="en-GB"/>
        </w:rPr>
      </w:pPr>
      <w:r w:rsidRPr="000A33A5">
        <w:rPr>
          <w:rFonts w:ascii="Arial" w:hAnsi="Arial" w:cs="Arial"/>
          <w:b/>
          <w:sz w:val="20"/>
          <w:szCs w:val="20"/>
          <w:lang w:eastAsia="en-GB"/>
        </w:rPr>
        <w:t>Abbreviations:</w:t>
      </w:r>
      <w:r w:rsidRPr="000A33A5">
        <w:rPr>
          <w:rFonts w:ascii="Arial" w:hAnsi="Arial" w:cs="Arial"/>
          <w:sz w:val="20"/>
          <w:szCs w:val="20"/>
          <w:lang w:eastAsia="en-GB"/>
        </w:rPr>
        <w:t xml:space="preserve"> M10, </w:t>
      </w:r>
      <w:r>
        <w:rPr>
          <w:rFonts w:ascii="Arial" w:hAnsi="Arial" w:cs="Arial"/>
          <w:sz w:val="20"/>
          <w:szCs w:val="20"/>
          <w:lang w:eastAsia="en-GB"/>
        </w:rPr>
        <w:t>t</w:t>
      </w:r>
      <w:r w:rsidRPr="000A33A5">
        <w:rPr>
          <w:rFonts w:ascii="Arial" w:hAnsi="Arial" w:cs="Arial"/>
          <w:sz w:val="20"/>
          <w:szCs w:val="20"/>
          <w:lang w:eastAsia="en-GB"/>
        </w:rPr>
        <w:t xml:space="preserve">he default </w:t>
      </w:r>
      <w:proofErr w:type="spellStart"/>
      <w:r w:rsidRPr="000A33A5">
        <w:rPr>
          <w:rFonts w:ascii="Arial" w:hAnsi="Arial" w:cs="Arial"/>
          <w:sz w:val="20"/>
          <w:szCs w:val="20"/>
          <w:lang w:eastAsia="en-GB"/>
        </w:rPr>
        <w:t>actiwatch</w:t>
      </w:r>
      <w:proofErr w:type="spellEnd"/>
      <w:r w:rsidRPr="000A33A5">
        <w:rPr>
          <w:rFonts w:ascii="Arial" w:hAnsi="Arial" w:cs="Arial"/>
          <w:sz w:val="20"/>
          <w:szCs w:val="20"/>
          <w:lang w:eastAsia="en-GB"/>
        </w:rPr>
        <w:t xml:space="preserve"> setting that uses a medium wake threshold with 40 counts per epochs with 10 immobile minutes for sleep onset and termination; H5, </w:t>
      </w:r>
      <w:proofErr w:type="spellStart"/>
      <w:r w:rsidRPr="000A33A5">
        <w:rPr>
          <w:rFonts w:ascii="Arial" w:hAnsi="Arial" w:cs="Arial"/>
          <w:sz w:val="20"/>
          <w:szCs w:val="20"/>
          <w:lang w:eastAsia="en-GB"/>
        </w:rPr>
        <w:t>actiwatch</w:t>
      </w:r>
      <w:proofErr w:type="spellEnd"/>
      <w:r w:rsidRPr="000A33A5">
        <w:rPr>
          <w:rFonts w:ascii="Arial" w:hAnsi="Arial" w:cs="Arial"/>
          <w:sz w:val="20"/>
          <w:szCs w:val="20"/>
          <w:lang w:eastAsia="en-GB"/>
        </w:rPr>
        <w:t xml:space="preserve"> setting that has a higher wake threshold of 80 counts per epoch and 5 immobility minutes for sleep onset and termination</w:t>
      </w:r>
      <w:r>
        <w:rPr>
          <w:rFonts w:ascii="Arial" w:hAnsi="Arial" w:cs="Arial"/>
          <w:sz w:val="20"/>
          <w:szCs w:val="20"/>
          <w:lang w:eastAsia="en-GB"/>
        </w:rPr>
        <w:t>.</w:t>
      </w:r>
    </w:p>
    <w:p w14:paraId="3AAF30EF" w14:textId="77777777" w:rsidR="005A5DED" w:rsidRDefault="005A5DED" w:rsidP="00887E7D">
      <w:pPr>
        <w:suppressLineNumbers/>
        <w:rPr>
          <w:rFonts w:ascii="Arial" w:hAnsi="Arial" w:cs="Arial"/>
          <w:b/>
          <w:sz w:val="20"/>
          <w:szCs w:val="20"/>
          <w:lang w:eastAsia="en-GB"/>
        </w:rPr>
      </w:pPr>
    </w:p>
    <w:p w14:paraId="4C827581" w14:textId="032B9992" w:rsidR="00887E7D" w:rsidRPr="000A33A5" w:rsidRDefault="00887E7D" w:rsidP="00887E7D">
      <w:pPr>
        <w:suppressLineNumbers/>
        <w:rPr>
          <w:rFonts w:ascii="Arial" w:hAnsi="Arial" w:cs="Arial"/>
          <w:b/>
          <w:sz w:val="20"/>
          <w:szCs w:val="20"/>
        </w:rPr>
      </w:pPr>
      <w:r w:rsidRPr="000A33A5">
        <w:rPr>
          <w:rFonts w:ascii="Arial" w:hAnsi="Arial" w:cs="Arial"/>
          <w:b/>
          <w:sz w:val="20"/>
          <w:szCs w:val="20"/>
          <w:lang w:eastAsia="en-GB"/>
        </w:rPr>
        <w:t>Table S2. Mean (SD) of TST biases, in minutes, from PSG of each device setting grouped by BMI, across TIB conditions.</w:t>
      </w:r>
    </w:p>
    <w:tbl>
      <w:tblPr>
        <w:tblW w:w="52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1753"/>
        <w:gridCol w:w="1753"/>
        <w:gridCol w:w="1753"/>
        <w:gridCol w:w="967"/>
        <w:gridCol w:w="1217"/>
      </w:tblGrid>
      <w:tr w:rsidR="00887E7D" w:rsidRPr="000A33A5" w14:paraId="109CD254" w14:textId="77777777" w:rsidTr="00887E7D">
        <w:trPr>
          <w:trHeight w:val="300"/>
        </w:trPr>
        <w:tc>
          <w:tcPr>
            <w:tcW w:w="1081" w:type="pct"/>
            <w:shd w:val="clear" w:color="auto" w:fill="FFFFFF" w:themeFill="background1"/>
            <w:noWrap/>
            <w:vAlign w:val="center"/>
            <w:hideMark/>
          </w:tcPr>
          <w:p w14:paraId="43E2B818" w14:textId="77777777" w:rsidR="00887E7D" w:rsidRPr="000A33A5" w:rsidRDefault="00887E7D" w:rsidP="0029643E">
            <w:pPr>
              <w:suppressLineNumbers/>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6BBD4F93" w14:textId="77777777" w:rsidR="00887E7D" w:rsidRPr="000A33A5" w:rsidRDefault="00887E7D" w:rsidP="0029643E">
            <w:pPr>
              <w:suppressLineNumbers/>
              <w:jc w:val="both"/>
              <w:rPr>
                <w:rFonts w:ascii="Arial" w:hAnsi="Arial" w:cs="Arial"/>
                <w:sz w:val="20"/>
                <w:szCs w:val="20"/>
                <w:lang w:eastAsia="en-GB"/>
              </w:rPr>
            </w:pPr>
            <w:r w:rsidRPr="000A33A5">
              <w:rPr>
                <w:rFonts w:ascii="Arial" w:hAnsi="Arial" w:cs="Arial"/>
                <w:sz w:val="20"/>
                <w:szCs w:val="20"/>
                <w:lang w:eastAsia="en-GB"/>
              </w:rPr>
              <w:t>M10</w:t>
            </w:r>
          </w:p>
        </w:tc>
        <w:tc>
          <w:tcPr>
            <w:tcW w:w="923" w:type="pct"/>
            <w:shd w:val="clear" w:color="auto" w:fill="FFFFFF" w:themeFill="background1"/>
            <w:noWrap/>
            <w:vAlign w:val="center"/>
            <w:hideMark/>
          </w:tcPr>
          <w:p w14:paraId="58A2B8F4" w14:textId="77777777" w:rsidR="00887E7D" w:rsidRPr="000A33A5" w:rsidRDefault="00887E7D" w:rsidP="0029643E">
            <w:pPr>
              <w:suppressLineNumbers/>
              <w:jc w:val="both"/>
              <w:rPr>
                <w:rFonts w:ascii="Arial" w:hAnsi="Arial" w:cs="Arial"/>
                <w:sz w:val="20"/>
                <w:szCs w:val="20"/>
                <w:lang w:eastAsia="en-GB"/>
              </w:rPr>
            </w:pPr>
            <w:r w:rsidRPr="000A33A5">
              <w:rPr>
                <w:rFonts w:ascii="Arial" w:hAnsi="Arial" w:cs="Arial"/>
                <w:sz w:val="20"/>
                <w:szCs w:val="20"/>
                <w:lang w:eastAsia="en-GB"/>
              </w:rPr>
              <w:t>H5</w:t>
            </w:r>
          </w:p>
        </w:tc>
        <w:tc>
          <w:tcPr>
            <w:tcW w:w="923" w:type="pct"/>
            <w:shd w:val="clear" w:color="auto" w:fill="FFFFFF" w:themeFill="background1"/>
            <w:noWrap/>
            <w:vAlign w:val="center"/>
            <w:hideMark/>
          </w:tcPr>
          <w:p w14:paraId="759E60E6" w14:textId="77777777" w:rsidR="00887E7D" w:rsidRPr="000A33A5" w:rsidRDefault="00887E7D" w:rsidP="0029643E">
            <w:pPr>
              <w:suppressLineNumbers/>
              <w:jc w:val="both"/>
              <w:rPr>
                <w:rFonts w:ascii="Arial" w:hAnsi="Arial" w:cs="Arial"/>
                <w:sz w:val="20"/>
                <w:szCs w:val="20"/>
                <w:lang w:eastAsia="en-GB"/>
              </w:rPr>
            </w:pPr>
            <w:proofErr w:type="spellStart"/>
            <w:r w:rsidRPr="000A33A5">
              <w:rPr>
                <w:rFonts w:ascii="Arial" w:hAnsi="Arial" w:cs="Arial"/>
                <w:sz w:val="20"/>
                <w:szCs w:val="20"/>
                <w:lang w:eastAsia="en-GB"/>
              </w:rPr>
              <w:t>Oura</w:t>
            </w:r>
            <w:proofErr w:type="spellEnd"/>
          </w:p>
        </w:tc>
        <w:tc>
          <w:tcPr>
            <w:tcW w:w="509" w:type="pct"/>
            <w:shd w:val="clear" w:color="auto" w:fill="FFFFFF" w:themeFill="background1"/>
            <w:noWrap/>
            <w:vAlign w:val="center"/>
          </w:tcPr>
          <w:p w14:paraId="57F845D9" w14:textId="77777777" w:rsidR="00887E7D" w:rsidRPr="000A33A5" w:rsidRDefault="00887E7D" w:rsidP="0029643E">
            <w:pPr>
              <w:suppressLineNumbers/>
              <w:jc w:val="both"/>
              <w:rPr>
                <w:rFonts w:ascii="Arial" w:hAnsi="Arial" w:cs="Arial"/>
                <w:sz w:val="20"/>
                <w:szCs w:val="20"/>
                <w:lang w:eastAsia="en-GB"/>
              </w:rPr>
            </w:pPr>
            <w:r w:rsidRPr="000A33A5">
              <w:rPr>
                <w:rFonts w:ascii="Arial" w:hAnsi="Arial" w:cs="Arial"/>
                <w:sz w:val="20"/>
                <w:szCs w:val="20"/>
                <w:lang w:eastAsia="en-GB"/>
              </w:rPr>
              <w:t xml:space="preserve">F </w:t>
            </w:r>
          </w:p>
        </w:tc>
        <w:tc>
          <w:tcPr>
            <w:tcW w:w="643" w:type="pct"/>
            <w:shd w:val="clear" w:color="auto" w:fill="FFFFFF" w:themeFill="background1"/>
            <w:noWrap/>
            <w:vAlign w:val="center"/>
            <w:hideMark/>
          </w:tcPr>
          <w:p w14:paraId="6A9C7E0E" w14:textId="77777777" w:rsidR="00887E7D" w:rsidRPr="000A33A5" w:rsidRDefault="00887E7D" w:rsidP="0029643E">
            <w:pPr>
              <w:suppressLineNumbers/>
              <w:jc w:val="both"/>
              <w:rPr>
                <w:rFonts w:ascii="Arial" w:hAnsi="Arial" w:cs="Arial"/>
                <w:sz w:val="20"/>
                <w:szCs w:val="20"/>
                <w:lang w:eastAsia="en-GB"/>
              </w:rPr>
            </w:pPr>
            <w:r w:rsidRPr="000A33A5">
              <w:rPr>
                <w:rFonts w:ascii="Arial" w:hAnsi="Arial" w:cs="Arial"/>
                <w:sz w:val="20"/>
                <w:szCs w:val="20"/>
                <w:lang w:eastAsia="en-GB"/>
              </w:rPr>
              <w:t>P</w:t>
            </w:r>
          </w:p>
        </w:tc>
      </w:tr>
      <w:tr w:rsidR="00887E7D" w:rsidRPr="000A33A5" w14:paraId="41AB4C90" w14:textId="77777777" w:rsidTr="00887E7D">
        <w:trPr>
          <w:trHeight w:val="51"/>
        </w:trPr>
        <w:tc>
          <w:tcPr>
            <w:tcW w:w="1081" w:type="pct"/>
            <w:shd w:val="clear" w:color="auto" w:fill="FFFFFF" w:themeFill="background1"/>
            <w:noWrap/>
            <w:vAlign w:val="center"/>
            <w:hideMark/>
          </w:tcPr>
          <w:p w14:paraId="6B3DA1ED"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3679F0E4"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7F1B34F7"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51CBD546"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13C1CDDA"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0D02DB7F" w14:textId="77777777" w:rsidR="00887E7D" w:rsidRPr="000A33A5" w:rsidRDefault="00887E7D" w:rsidP="0029643E">
            <w:pPr>
              <w:jc w:val="both"/>
              <w:rPr>
                <w:rFonts w:ascii="Arial" w:hAnsi="Arial" w:cs="Arial"/>
                <w:sz w:val="20"/>
                <w:szCs w:val="20"/>
                <w:lang w:eastAsia="en-GB"/>
              </w:rPr>
            </w:pPr>
          </w:p>
        </w:tc>
      </w:tr>
      <w:tr w:rsidR="00887E7D" w:rsidRPr="000A33A5" w14:paraId="2C1B4F49" w14:textId="77777777" w:rsidTr="00887E7D">
        <w:trPr>
          <w:trHeight w:val="300"/>
        </w:trPr>
        <w:tc>
          <w:tcPr>
            <w:tcW w:w="1081" w:type="pct"/>
            <w:shd w:val="clear" w:color="auto" w:fill="FFFFFF" w:themeFill="background1"/>
            <w:noWrap/>
            <w:vAlign w:val="center"/>
            <w:hideMark/>
          </w:tcPr>
          <w:p w14:paraId="63A4F758" w14:textId="77777777" w:rsidR="00887E7D" w:rsidRPr="000A33A5" w:rsidRDefault="00887E7D" w:rsidP="0029643E">
            <w:pPr>
              <w:jc w:val="both"/>
              <w:rPr>
                <w:rFonts w:ascii="Arial" w:hAnsi="Arial" w:cs="Arial"/>
                <w:b/>
                <w:sz w:val="20"/>
                <w:szCs w:val="20"/>
                <w:lang w:eastAsia="en-GB"/>
              </w:rPr>
            </w:pPr>
            <w:r w:rsidRPr="000A33A5">
              <w:rPr>
                <w:rFonts w:ascii="Arial" w:hAnsi="Arial" w:cs="Arial"/>
                <w:b/>
                <w:sz w:val="20"/>
                <w:szCs w:val="20"/>
                <w:lang w:eastAsia="en-GB"/>
              </w:rPr>
              <w:t>6.5h TIB</w:t>
            </w:r>
          </w:p>
        </w:tc>
        <w:tc>
          <w:tcPr>
            <w:tcW w:w="923" w:type="pct"/>
            <w:shd w:val="clear" w:color="auto" w:fill="FFFFFF" w:themeFill="background1"/>
            <w:noWrap/>
            <w:vAlign w:val="center"/>
            <w:hideMark/>
          </w:tcPr>
          <w:p w14:paraId="4AB1CC4D"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21F77DF1"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2EA74378"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61D41FEB"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21D96598" w14:textId="77777777" w:rsidR="00887E7D" w:rsidRPr="000A33A5" w:rsidRDefault="00887E7D" w:rsidP="0029643E">
            <w:pPr>
              <w:jc w:val="both"/>
              <w:rPr>
                <w:rFonts w:ascii="Arial" w:hAnsi="Arial" w:cs="Arial"/>
                <w:sz w:val="20"/>
                <w:szCs w:val="20"/>
                <w:lang w:eastAsia="en-GB"/>
              </w:rPr>
            </w:pPr>
          </w:p>
        </w:tc>
      </w:tr>
      <w:tr w:rsidR="00887E7D" w:rsidRPr="000A33A5" w14:paraId="7BBC8B7A" w14:textId="77777777" w:rsidTr="00887E7D">
        <w:trPr>
          <w:trHeight w:val="300"/>
        </w:trPr>
        <w:tc>
          <w:tcPr>
            <w:tcW w:w="1081" w:type="pct"/>
            <w:shd w:val="clear" w:color="auto" w:fill="FFFFFF" w:themeFill="background1"/>
            <w:noWrap/>
            <w:vAlign w:val="center"/>
            <w:hideMark/>
          </w:tcPr>
          <w:p w14:paraId="2EBD7FE8"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BMI &gt; 20  (n=11)</w:t>
            </w:r>
          </w:p>
        </w:tc>
        <w:tc>
          <w:tcPr>
            <w:tcW w:w="923" w:type="pct"/>
            <w:shd w:val="clear" w:color="auto" w:fill="FFFFFF" w:themeFill="background1"/>
            <w:noWrap/>
            <w:vAlign w:val="center"/>
            <w:hideMark/>
          </w:tcPr>
          <w:p w14:paraId="36E0BFB3"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-29.66 (10.33)</w:t>
            </w:r>
          </w:p>
        </w:tc>
        <w:tc>
          <w:tcPr>
            <w:tcW w:w="923" w:type="pct"/>
            <w:shd w:val="clear" w:color="auto" w:fill="FFFFFF" w:themeFill="background1"/>
            <w:noWrap/>
            <w:vAlign w:val="center"/>
            <w:hideMark/>
          </w:tcPr>
          <w:p w14:paraId="6726F664"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-6.22 (10.74)</w:t>
            </w:r>
          </w:p>
        </w:tc>
        <w:tc>
          <w:tcPr>
            <w:tcW w:w="923" w:type="pct"/>
            <w:shd w:val="clear" w:color="auto" w:fill="FFFFFF" w:themeFill="background1"/>
            <w:noWrap/>
            <w:vAlign w:val="center"/>
            <w:hideMark/>
          </w:tcPr>
          <w:p w14:paraId="5CC7354A"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-30.15 (21.69)</w:t>
            </w:r>
          </w:p>
        </w:tc>
        <w:tc>
          <w:tcPr>
            <w:tcW w:w="509" w:type="pct"/>
            <w:shd w:val="clear" w:color="auto" w:fill="FFFFFF" w:themeFill="background1"/>
            <w:noWrap/>
            <w:vAlign w:val="center"/>
            <w:hideMark/>
          </w:tcPr>
          <w:p w14:paraId="6154455A"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0.154</w:t>
            </w:r>
          </w:p>
        </w:tc>
        <w:tc>
          <w:tcPr>
            <w:tcW w:w="643" w:type="pct"/>
            <w:shd w:val="clear" w:color="auto" w:fill="FFFFFF" w:themeFill="background1"/>
            <w:noWrap/>
            <w:vAlign w:val="center"/>
            <w:hideMark/>
          </w:tcPr>
          <w:p w14:paraId="78F575FE"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0.858</w:t>
            </w:r>
          </w:p>
        </w:tc>
      </w:tr>
      <w:tr w:rsidR="00887E7D" w:rsidRPr="000A33A5" w14:paraId="46E1BBA0" w14:textId="77777777" w:rsidTr="00887E7D">
        <w:trPr>
          <w:trHeight w:val="300"/>
        </w:trPr>
        <w:tc>
          <w:tcPr>
            <w:tcW w:w="1081" w:type="pct"/>
            <w:shd w:val="clear" w:color="auto" w:fill="FFFFFF" w:themeFill="background1"/>
            <w:noWrap/>
            <w:vAlign w:val="center"/>
            <w:hideMark/>
          </w:tcPr>
          <w:p w14:paraId="0B3FD16B"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 xml:space="preserve">BMI &lt; 20  (n=11) </w:t>
            </w:r>
          </w:p>
        </w:tc>
        <w:tc>
          <w:tcPr>
            <w:tcW w:w="923" w:type="pct"/>
            <w:shd w:val="clear" w:color="auto" w:fill="FFFFFF" w:themeFill="background1"/>
            <w:noWrap/>
            <w:vAlign w:val="center"/>
            <w:hideMark/>
          </w:tcPr>
          <w:p w14:paraId="2A51A05B"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-21.99 (16.30)</w:t>
            </w:r>
          </w:p>
        </w:tc>
        <w:tc>
          <w:tcPr>
            <w:tcW w:w="923" w:type="pct"/>
            <w:shd w:val="clear" w:color="auto" w:fill="FFFFFF" w:themeFill="background1"/>
            <w:noWrap/>
            <w:vAlign w:val="center"/>
            <w:hideMark/>
          </w:tcPr>
          <w:p w14:paraId="18819C87"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1.85 (14.95)</w:t>
            </w:r>
          </w:p>
        </w:tc>
        <w:tc>
          <w:tcPr>
            <w:tcW w:w="923" w:type="pct"/>
            <w:shd w:val="clear" w:color="auto" w:fill="FFFFFF" w:themeFill="background1"/>
            <w:noWrap/>
            <w:vAlign w:val="center"/>
            <w:hideMark/>
          </w:tcPr>
          <w:p w14:paraId="3F5E95E0"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-35.37 (11.18)</w:t>
            </w:r>
          </w:p>
        </w:tc>
        <w:tc>
          <w:tcPr>
            <w:tcW w:w="509" w:type="pct"/>
            <w:shd w:val="clear" w:color="auto" w:fill="FFFFFF" w:themeFill="background1"/>
            <w:noWrap/>
            <w:vAlign w:val="center"/>
            <w:hideMark/>
          </w:tcPr>
          <w:p w14:paraId="2AA87A02"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1C5D6B15" w14:textId="77777777" w:rsidR="00887E7D" w:rsidRPr="000A33A5" w:rsidRDefault="00887E7D" w:rsidP="0029643E">
            <w:pPr>
              <w:jc w:val="both"/>
              <w:rPr>
                <w:rFonts w:ascii="Arial" w:hAnsi="Arial" w:cs="Arial"/>
                <w:sz w:val="20"/>
                <w:szCs w:val="20"/>
                <w:lang w:eastAsia="en-GB"/>
              </w:rPr>
            </w:pPr>
          </w:p>
        </w:tc>
      </w:tr>
      <w:tr w:rsidR="00887E7D" w:rsidRPr="000A33A5" w14:paraId="7AA55C01" w14:textId="77777777" w:rsidTr="00887E7D">
        <w:trPr>
          <w:trHeight w:val="80"/>
        </w:trPr>
        <w:tc>
          <w:tcPr>
            <w:tcW w:w="1081" w:type="pct"/>
            <w:shd w:val="clear" w:color="auto" w:fill="FFFFFF" w:themeFill="background1"/>
            <w:noWrap/>
            <w:vAlign w:val="center"/>
            <w:hideMark/>
          </w:tcPr>
          <w:p w14:paraId="5CE7CF67"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440C79EF"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2DAEA5A9"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20160416"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07A7829B"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404A3A24" w14:textId="77777777" w:rsidR="00887E7D" w:rsidRPr="000A33A5" w:rsidRDefault="00887E7D" w:rsidP="0029643E">
            <w:pPr>
              <w:jc w:val="both"/>
              <w:rPr>
                <w:rFonts w:ascii="Arial" w:hAnsi="Arial" w:cs="Arial"/>
                <w:sz w:val="20"/>
                <w:szCs w:val="20"/>
                <w:lang w:eastAsia="en-GB"/>
              </w:rPr>
            </w:pPr>
          </w:p>
        </w:tc>
      </w:tr>
      <w:tr w:rsidR="00887E7D" w:rsidRPr="000A33A5" w14:paraId="7D8E104C" w14:textId="77777777" w:rsidTr="00887E7D">
        <w:trPr>
          <w:trHeight w:val="300"/>
        </w:trPr>
        <w:tc>
          <w:tcPr>
            <w:tcW w:w="1081" w:type="pct"/>
            <w:shd w:val="clear" w:color="auto" w:fill="FFFFFF" w:themeFill="background1"/>
            <w:noWrap/>
            <w:vAlign w:val="center"/>
            <w:hideMark/>
          </w:tcPr>
          <w:p w14:paraId="34C785E7" w14:textId="77777777" w:rsidR="00887E7D" w:rsidRPr="000A33A5" w:rsidRDefault="00887E7D" w:rsidP="0029643E">
            <w:pPr>
              <w:jc w:val="both"/>
              <w:rPr>
                <w:rFonts w:ascii="Arial" w:hAnsi="Arial" w:cs="Arial"/>
                <w:b/>
                <w:sz w:val="20"/>
                <w:szCs w:val="20"/>
                <w:lang w:eastAsia="en-GB"/>
              </w:rPr>
            </w:pPr>
            <w:r w:rsidRPr="000A33A5">
              <w:rPr>
                <w:rFonts w:ascii="Arial" w:hAnsi="Arial" w:cs="Arial"/>
                <w:b/>
                <w:sz w:val="20"/>
                <w:szCs w:val="20"/>
                <w:lang w:eastAsia="en-GB"/>
              </w:rPr>
              <w:t xml:space="preserve">8h TIB </w:t>
            </w:r>
          </w:p>
        </w:tc>
        <w:tc>
          <w:tcPr>
            <w:tcW w:w="923" w:type="pct"/>
            <w:shd w:val="clear" w:color="auto" w:fill="FFFFFF" w:themeFill="background1"/>
            <w:noWrap/>
            <w:vAlign w:val="center"/>
            <w:hideMark/>
          </w:tcPr>
          <w:p w14:paraId="6568CC5A"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007485F2"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114341F3"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5C45C11F"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7B0EB04A" w14:textId="77777777" w:rsidR="00887E7D" w:rsidRPr="000A33A5" w:rsidRDefault="00887E7D" w:rsidP="0029643E">
            <w:pPr>
              <w:jc w:val="both"/>
              <w:rPr>
                <w:rFonts w:ascii="Arial" w:hAnsi="Arial" w:cs="Arial"/>
                <w:sz w:val="20"/>
                <w:szCs w:val="20"/>
                <w:lang w:eastAsia="en-GB"/>
              </w:rPr>
            </w:pPr>
          </w:p>
        </w:tc>
      </w:tr>
      <w:tr w:rsidR="00887E7D" w:rsidRPr="000A33A5" w14:paraId="6177055F" w14:textId="77777777" w:rsidTr="00887E7D">
        <w:trPr>
          <w:trHeight w:val="300"/>
        </w:trPr>
        <w:tc>
          <w:tcPr>
            <w:tcW w:w="1081" w:type="pct"/>
            <w:shd w:val="clear" w:color="auto" w:fill="FFFFFF" w:themeFill="background1"/>
            <w:noWrap/>
            <w:vAlign w:val="center"/>
            <w:hideMark/>
          </w:tcPr>
          <w:p w14:paraId="4E1438E8"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BMI &gt; 20  (n=14)</w:t>
            </w:r>
          </w:p>
        </w:tc>
        <w:tc>
          <w:tcPr>
            <w:tcW w:w="923" w:type="pct"/>
            <w:shd w:val="clear" w:color="auto" w:fill="FFFFFF" w:themeFill="background1"/>
            <w:noWrap/>
            <w:vAlign w:val="center"/>
            <w:hideMark/>
          </w:tcPr>
          <w:p w14:paraId="78D7FB83"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-29.25 (17.65)</w:t>
            </w:r>
          </w:p>
        </w:tc>
        <w:tc>
          <w:tcPr>
            <w:tcW w:w="923" w:type="pct"/>
            <w:shd w:val="clear" w:color="auto" w:fill="FFFFFF" w:themeFill="background1"/>
            <w:noWrap/>
            <w:vAlign w:val="center"/>
            <w:hideMark/>
          </w:tcPr>
          <w:p w14:paraId="10D8CBA0"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-3.71 (13.52)</w:t>
            </w:r>
          </w:p>
        </w:tc>
        <w:tc>
          <w:tcPr>
            <w:tcW w:w="923" w:type="pct"/>
            <w:shd w:val="clear" w:color="auto" w:fill="FFFFFF" w:themeFill="background1"/>
            <w:noWrap/>
            <w:vAlign w:val="center"/>
            <w:hideMark/>
          </w:tcPr>
          <w:p w14:paraId="6808767D"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-45.55 (18.45)</w:t>
            </w:r>
          </w:p>
        </w:tc>
        <w:tc>
          <w:tcPr>
            <w:tcW w:w="509" w:type="pct"/>
            <w:shd w:val="clear" w:color="auto" w:fill="FFFFFF" w:themeFill="background1"/>
            <w:noWrap/>
            <w:vAlign w:val="center"/>
            <w:hideMark/>
          </w:tcPr>
          <w:p w14:paraId="27B6908C"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0.866</w:t>
            </w:r>
          </w:p>
        </w:tc>
        <w:tc>
          <w:tcPr>
            <w:tcW w:w="643" w:type="pct"/>
            <w:shd w:val="clear" w:color="auto" w:fill="FFFFFF" w:themeFill="background1"/>
            <w:noWrap/>
            <w:vAlign w:val="center"/>
            <w:hideMark/>
          </w:tcPr>
          <w:p w14:paraId="21D41D5C"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0.427</w:t>
            </w:r>
          </w:p>
        </w:tc>
      </w:tr>
      <w:tr w:rsidR="00887E7D" w:rsidRPr="000A33A5" w14:paraId="4F17E8F6" w14:textId="77777777" w:rsidTr="00887E7D">
        <w:trPr>
          <w:trHeight w:val="300"/>
        </w:trPr>
        <w:tc>
          <w:tcPr>
            <w:tcW w:w="1081" w:type="pct"/>
            <w:shd w:val="clear" w:color="auto" w:fill="FFFFFF" w:themeFill="background1"/>
            <w:noWrap/>
            <w:vAlign w:val="center"/>
            <w:hideMark/>
          </w:tcPr>
          <w:p w14:paraId="2E15FB22"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BMI &lt; 20  (n=14)</w:t>
            </w:r>
          </w:p>
        </w:tc>
        <w:tc>
          <w:tcPr>
            <w:tcW w:w="923" w:type="pct"/>
            <w:shd w:val="clear" w:color="auto" w:fill="FFFFFF" w:themeFill="background1"/>
            <w:noWrap/>
            <w:vAlign w:val="center"/>
            <w:hideMark/>
          </w:tcPr>
          <w:p w14:paraId="1C50173A"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-37.98 (26.95)</w:t>
            </w:r>
          </w:p>
        </w:tc>
        <w:tc>
          <w:tcPr>
            <w:tcW w:w="923" w:type="pct"/>
            <w:shd w:val="clear" w:color="auto" w:fill="FFFFFF" w:themeFill="background1"/>
            <w:noWrap/>
            <w:vAlign w:val="center"/>
            <w:hideMark/>
          </w:tcPr>
          <w:p w14:paraId="4797D7AC"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-11.39 (17.37)</w:t>
            </w:r>
          </w:p>
        </w:tc>
        <w:tc>
          <w:tcPr>
            <w:tcW w:w="923" w:type="pct"/>
            <w:shd w:val="clear" w:color="auto" w:fill="FFFFFF" w:themeFill="background1"/>
            <w:noWrap/>
            <w:vAlign w:val="center"/>
            <w:hideMark/>
          </w:tcPr>
          <w:p w14:paraId="2739C5E4"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-46.63 (21.57)</w:t>
            </w:r>
          </w:p>
        </w:tc>
        <w:tc>
          <w:tcPr>
            <w:tcW w:w="509" w:type="pct"/>
            <w:shd w:val="clear" w:color="auto" w:fill="FFFFFF" w:themeFill="background1"/>
            <w:noWrap/>
            <w:vAlign w:val="center"/>
            <w:hideMark/>
          </w:tcPr>
          <w:p w14:paraId="6E697E96"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602A3AA0" w14:textId="77777777" w:rsidR="00887E7D" w:rsidRPr="000A33A5" w:rsidRDefault="00887E7D" w:rsidP="0029643E">
            <w:pPr>
              <w:jc w:val="both"/>
              <w:rPr>
                <w:rFonts w:ascii="Arial" w:hAnsi="Arial" w:cs="Arial"/>
                <w:sz w:val="20"/>
                <w:szCs w:val="20"/>
                <w:lang w:eastAsia="en-GB"/>
              </w:rPr>
            </w:pPr>
          </w:p>
        </w:tc>
      </w:tr>
      <w:tr w:rsidR="00887E7D" w:rsidRPr="000A33A5" w14:paraId="7BD048AA" w14:textId="77777777" w:rsidTr="00887E7D">
        <w:trPr>
          <w:trHeight w:val="80"/>
        </w:trPr>
        <w:tc>
          <w:tcPr>
            <w:tcW w:w="1081" w:type="pct"/>
            <w:shd w:val="clear" w:color="auto" w:fill="FFFFFF" w:themeFill="background1"/>
            <w:noWrap/>
            <w:vAlign w:val="center"/>
            <w:hideMark/>
          </w:tcPr>
          <w:p w14:paraId="6351013A"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 </w:t>
            </w:r>
          </w:p>
        </w:tc>
        <w:tc>
          <w:tcPr>
            <w:tcW w:w="923" w:type="pct"/>
            <w:shd w:val="clear" w:color="auto" w:fill="FFFFFF" w:themeFill="background1"/>
            <w:noWrap/>
            <w:vAlign w:val="center"/>
            <w:hideMark/>
          </w:tcPr>
          <w:p w14:paraId="35A9026F"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2FCF3989"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3BDF151C"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7839B2ED"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5892338B" w14:textId="77777777" w:rsidR="00887E7D" w:rsidRPr="000A33A5" w:rsidRDefault="00887E7D" w:rsidP="0029643E">
            <w:pPr>
              <w:jc w:val="both"/>
              <w:rPr>
                <w:rFonts w:ascii="Arial" w:hAnsi="Arial" w:cs="Arial"/>
                <w:sz w:val="20"/>
                <w:szCs w:val="20"/>
                <w:lang w:eastAsia="en-GB"/>
              </w:rPr>
            </w:pPr>
          </w:p>
        </w:tc>
      </w:tr>
      <w:tr w:rsidR="00887E7D" w:rsidRPr="000A33A5" w14:paraId="51E24CA5" w14:textId="77777777" w:rsidTr="00887E7D">
        <w:trPr>
          <w:trHeight w:val="300"/>
        </w:trPr>
        <w:tc>
          <w:tcPr>
            <w:tcW w:w="1081" w:type="pct"/>
            <w:shd w:val="clear" w:color="auto" w:fill="FFFFFF" w:themeFill="background1"/>
            <w:noWrap/>
            <w:vAlign w:val="center"/>
            <w:hideMark/>
          </w:tcPr>
          <w:p w14:paraId="0080948D" w14:textId="77777777" w:rsidR="00887E7D" w:rsidRPr="000A33A5" w:rsidRDefault="00887E7D" w:rsidP="0029643E">
            <w:pPr>
              <w:jc w:val="both"/>
              <w:rPr>
                <w:rFonts w:ascii="Arial" w:hAnsi="Arial" w:cs="Arial"/>
                <w:b/>
                <w:sz w:val="20"/>
                <w:szCs w:val="20"/>
                <w:lang w:eastAsia="en-GB"/>
              </w:rPr>
            </w:pPr>
            <w:r w:rsidRPr="000A33A5">
              <w:rPr>
                <w:rFonts w:ascii="Arial" w:hAnsi="Arial" w:cs="Arial"/>
                <w:b/>
                <w:sz w:val="20"/>
                <w:szCs w:val="20"/>
                <w:lang w:eastAsia="en-GB"/>
              </w:rPr>
              <w:t>9h TIB</w:t>
            </w:r>
          </w:p>
        </w:tc>
        <w:tc>
          <w:tcPr>
            <w:tcW w:w="923" w:type="pct"/>
            <w:shd w:val="clear" w:color="auto" w:fill="FFFFFF" w:themeFill="background1"/>
            <w:noWrap/>
            <w:vAlign w:val="center"/>
            <w:hideMark/>
          </w:tcPr>
          <w:p w14:paraId="5FCFA330"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3BB44A98" w14:textId="77777777" w:rsidR="00887E7D" w:rsidRPr="000A33A5" w:rsidRDefault="00887E7D" w:rsidP="0029643E">
            <w:pPr>
              <w:jc w:val="both"/>
              <w:rPr>
                <w:rFonts w:ascii="Arial" w:hAnsi="Arial" w:cs="Arial"/>
                <w:sz w:val="20"/>
                <w:szCs w:val="20"/>
                <w:lang w:eastAsia="en-GB"/>
              </w:rPr>
            </w:pPr>
          </w:p>
        </w:tc>
        <w:tc>
          <w:tcPr>
            <w:tcW w:w="923" w:type="pct"/>
            <w:shd w:val="clear" w:color="auto" w:fill="FFFFFF" w:themeFill="background1"/>
            <w:noWrap/>
            <w:vAlign w:val="center"/>
            <w:hideMark/>
          </w:tcPr>
          <w:p w14:paraId="0E9E8C94" w14:textId="77777777" w:rsidR="00887E7D" w:rsidRPr="000A33A5" w:rsidRDefault="00887E7D" w:rsidP="0029643E">
            <w:pPr>
              <w:jc w:val="both"/>
              <w:rPr>
                <w:rFonts w:ascii="Arial" w:hAnsi="Arial" w:cs="Arial"/>
                <w:sz w:val="20"/>
                <w:szCs w:val="20"/>
                <w:lang w:eastAsia="en-GB"/>
              </w:rPr>
            </w:pPr>
          </w:p>
        </w:tc>
        <w:tc>
          <w:tcPr>
            <w:tcW w:w="509" w:type="pct"/>
            <w:shd w:val="clear" w:color="auto" w:fill="FFFFFF" w:themeFill="background1"/>
            <w:noWrap/>
            <w:vAlign w:val="center"/>
            <w:hideMark/>
          </w:tcPr>
          <w:p w14:paraId="7383B7B2" w14:textId="77777777" w:rsidR="00887E7D" w:rsidRPr="000A33A5" w:rsidRDefault="00887E7D" w:rsidP="0029643E">
            <w:pPr>
              <w:jc w:val="both"/>
              <w:rPr>
                <w:rFonts w:ascii="Arial" w:hAnsi="Arial" w:cs="Arial"/>
                <w:sz w:val="20"/>
                <w:szCs w:val="20"/>
                <w:lang w:eastAsia="en-GB"/>
              </w:rPr>
            </w:pPr>
          </w:p>
        </w:tc>
        <w:tc>
          <w:tcPr>
            <w:tcW w:w="643" w:type="pct"/>
            <w:shd w:val="clear" w:color="auto" w:fill="FFFFFF" w:themeFill="background1"/>
            <w:noWrap/>
            <w:vAlign w:val="center"/>
            <w:hideMark/>
          </w:tcPr>
          <w:p w14:paraId="1F2B0EC5" w14:textId="77777777" w:rsidR="00887E7D" w:rsidRPr="000A33A5" w:rsidRDefault="00887E7D" w:rsidP="0029643E">
            <w:pPr>
              <w:jc w:val="both"/>
              <w:rPr>
                <w:rFonts w:ascii="Arial" w:hAnsi="Arial" w:cs="Arial"/>
                <w:sz w:val="20"/>
                <w:szCs w:val="20"/>
                <w:lang w:eastAsia="en-GB"/>
              </w:rPr>
            </w:pPr>
          </w:p>
        </w:tc>
      </w:tr>
      <w:tr w:rsidR="00887E7D" w:rsidRPr="000A33A5" w14:paraId="55104823" w14:textId="77777777" w:rsidTr="00887E7D">
        <w:trPr>
          <w:trHeight w:val="300"/>
        </w:trPr>
        <w:tc>
          <w:tcPr>
            <w:tcW w:w="1081" w:type="pct"/>
            <w:shd w:val="clear" w:color="auto" w:fill="FFFFFF" w:themeFill="background1"/>
            <w:noWrap/>
            <w:vAlign w:val="center"/>
            <w:hideMark/>
          </w:tcPr>
          <w:p w14:paraId="71A32ECE"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BMI &gt; 20 (n=26)</w:t>
            </w:r>
          </w:p>
        </w:tc>
        <w:tc>
          <w:tcPr>
            <w:tcW w:w="923" w:type="pct"/>
            <w:shd w:val="clear" w:color="auto" w:fill="FFFFFF" w:themeFill="background1"/>
            <w:noWrap/>
            <w:vAlign w:val="center"/>
            <w:hideMark/>
          </w:tcPr>
          <w:p w14:paraId="1C477F03"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-35.06 (16.51)</w:t>
            </w:r>
          </w:p>
        </w:tc>
        <w:tc>
          <w:tcPr>
            <w:tcW w:w="923" w:type="pct"/>
            <w:shd w:val="clear" w:color="auto" w:fill="FFFFFF" w:themeFill="background1"/>
            <w:noWrap/>
            <w:vAlign w:val="center"/>
            <w:hideMark/>
          </w:tcPr>
          <w:p w14:paraId="7DE05866"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-3.95 (16.42)</w:t>
            </w:r>
          </w:p>
        </w:tc>
        <w:tc>
          <w:tcPr>
            <w:tcW w:w="923" w:type="pct"/>
            <w:shd w:val="clear" w:color="auto" w:fill="FFFFFF" w:themeFill="background1"/>
            <w:noWrap/>
            <w:vAlign w:val="center"/>
            <w:hideMark/>
          </w:tcPr>
          <w:p w14:paraId="22AC37BE"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-44.14 (21.45)</w:t>
            </w:r>
          </w:p>
        </w:tc>
        <w:tc>
          <w:tcPr>
            <w:tcW w:w="509" w:type="pct"/>
            <w:shd w:val="clear" w:color="auto" w:fill="FFFFFF" w:themeFill="background1"/>
            <w:noWrap/>
            <w:vAlign w:val="center"/>
            <w:hideMark/>
          </w:tcPr>
          <w:p w14:paraId="43E34313"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1.197</w:t>
            </w:r>
          </w:p>
        </w:tc>
        <w:tc>
          <w:tcPr>
            <w:tcW w:w="643" w:type="pct"/>
            <w:shd w:val="clear" w:color="auto" w:fill="FFFFFF" w:themeFill="background1"/>
            <w:noWrap/>
            <w:vAlign w:val="center"/>
            <w:hideMark/>
          </w:tcPr>
          <w:p w14:paraId="0090FB96"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0.292</w:t>
            </w:r>
          </w:p>
        </w:tc>
      </w:tr>
      <w:tr w:rsidR="00887E7D" w:rsidRPr="000A33A5" w14:paraId="339D5D98" w14:textId="77777777" w:rsidTr="00887E7D">
        <w:trPr>
          <w:trHeight w:val="300"/>
        </w:trPr>
        <w:tc>
          <w:tcPr>
            <w:tcW w:w="1081" w:type="pct"/>
            <w:tcBorders>
              <w:bottom w:val="single" w:sz="4" w:space="0" w:color="auto"/>
            </w:tcBorders>
            <w:shd w:val="clear" w:color="auto" w:fill="FFFFFF" w:themeFill="background1"/>
            <w:noWrap/>
            <w:vAlign w:val="center"/>
            <w:hideMark/>
          </w:tcPr>
          <w:p w14:paraId="6CAC4BB8"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BMI &lt; 20 (n=26)</w:t>
            </w:r>
          </w:p>
        </w:tc>
        <w:tc>
          <w:tcPr>
            <w:tcW w:w="923" w:type="pct"/>
            <w:tcBorders>
              <w:bottom w:val="single" w:sz="4" w:space="0" w:color="auto"/>
            </w:tcBorders>
            <w:shd w:val="clear" w:color="auto" w:fill="FFFFFF" w:themeFill="background1"/>
            <w:noWrap/>
            <w:vAlign w:val="center"/>
            <w:hideMark/>
          </w:tcPr>
          <w:p w14:paraId="28E1B174"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-32.65 (21.91)</w:t>
            </w:r>
          </w:p>
        </w:tc>
        <w:tc>
          <w:tcPr>
            <w:tcW w:w="923" w:type="pct"/>
            <w:tcBorders>
              <w:bottom w:val="single" w:sz="4" w:space="0" w:color="auto"/>
            </w:tcBorders>
            <w:shd w:val="clear" w:color="auto" w:fill="FFFFFF" w:themeFill="background1"/>
            <w:noWrap/>
            <w:vAlign w:val="center"/>
            <w:hideMark/>
          </w:tcPr>
          <w:p w14:paraId="75618049"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-6.65 (19.26)</w:t>
            </w:r>
          </w:p>
        </w:tc>
        <w:tc>
          <w:tcPr>
            <w:tcW w:w="923" w:type="pct"/>
            <w:tcBorders>
              <w:bottom w:val="single" w:sz="4" w:space="0" w:color="auto"/>
            </w:tcBorders>
            <w:shd w:val="clear" w:color="auto" w:fill="FFFFFF" w:themeFill="background1"/>
            <w:noWrap/>
            <w:vAlign w:val="center"/>
            <w:hideMark/>
          </w:tcPr>
          <w:p w14:paraId="388365DC" w14:textId="77777777" w:rsidR="00887E7D" w:rsidRPr="000A33A5" w:rsidRDefault="00887E7D" w:rsidP="0029643E">
            <w:pPr>
              <w:jc w:val="both"/>
              <w:rPr>
                <w:rFonts w:ascii="Arial" w:hAnsi="Arial" w:cs="Arial"/>
                <w:sz w:val="20"/>
                <w:szCs w:val="20"/>
                <w:lang w:eastAsia="en-GB"/>
              </w:rPr>
            </w:pPr>
            <w:r w:rsidRPr="000A33A5">
              <w:rPr>
                <w:rFonts w:ascii="Arial" w:hAnsi="Arial" w:cs="Arial"/>
                <w:sz w:val="20"/>
                <w:szCs w:val="20"/>
                <w:lang w:eastAsia="en-GB"/>
              </w:rPr>
              <w:t>-50.38 (27.46)</w:t>
            </w:r>
          </w:p>
        </w:tc>
        <w:tc>
          <w:tcPr>
            <w:tcW w:w="509" w:type="pct"/>
            <w:tcBorders>
              <w:bottom w:val="single" w:sz="4" w:space="0" w:color="auto"/>
            </w:tcBorders>
            <w:shd w:val="clear" w:color="auto" w:fill="FFFFFF" w:themeFill="background1"/>
            <w:noWrap/>
            <w:vAlign w:val="center"/>
            <w:hideMark/>
          </w:tcPr>
          <w:p w14:paraId="23E76DC8" w14:textId="77777777" w:rsidR="00887E7D" w:rsidRPr="000A33A5" w:rsidRDefault="00887E7D" w:rsidP="0029643E">
            <w:pPr>
              <w:jc w:val="both"/>
              <w:rPr>
                <w:rFonts w:ascii="Arial" w:hAnsi="Arial" w:cs="Arial"/>
                <w:sz w:val="20"/>
                <w:szCs w:val="20"/>
                <w:lang w:eastAsia="en-GB"/>
              </w:rPr>
            </w:pPr>
          </w:p>
        </w:tc>
        <w:tc>
          <w:tcPr>
            <w:tcW w:w="643" w:type="pct"/>
            <w:tcBorders>
              <w:bottom w:val="single" w:sz="4" w:space="0" w:color="auto"/>
            </w:tcBorders>
            <w:shd w:val="clear" w:color="auto" w:fill="FFFFFF" w:themeFill="background1"/>
            <w:noWrap/>
            <w:vAlign w:val="center"/>
            <w:hideMark/>
          </w:tcPr>
          <w:p w14:paraId="006B68BA" w14:textId="77777777" w:rsidR="00887E7D" w:rsidRPr="000A33A5" w:rsidRDefault="00887E7D" w:rsidP="0029643E">
            <w:pPr>
              <w:jc w:val="both"/>
              <w:rPr>
                <w:rFonts w:ascii="Arial" w:hAnsi="Arial" w:cs="Arial"/>
                <w:sz w:val="20"/>
                <w:szCs w:val="20"/>
                <w:lang w:eastAsia="en-GB"/>
              </w:rPr>
            </w:pPr>
          </w:p>
        </w:tc>
      </w:tr>
    </w:tbl>
    <w:p w14:paraId="371C68A3" w14:textId="2FE436DD" w:rsidR="00887E7D" w:rsidRDefault="00887E7D" w:rsidP="000A33A5">
      <w:pPr>
        <w:suppressLineNumbers/>
        <w:jc w:val="both"/>
        <w:rPr>
          <w:rFonts w:ascii="Arial" w:hAnsi="Arial" w:cs="Arial"/>
          <w:sz w:val="20"/>
          <w:szCs w:val="20"/>
          <w:lang w:eastAsia="en-GB"/>
        </w:rPr>
      </w:pPr>
      <w:r w:rsidRPr="000A33A5">
        <w:rPr>
          <w:rFonts w:ascii="Arial" w:hAnsi="Arial" w:cs="Arial"/>
          <w:sz w:val="20"/>
          <w:szCs w:val="20"/>
          <w:lang w:eastAsia="en-GB"/>
        </w:rPr>
        <w:t>F-values of Device × BMI interactions are indicated.</w:t>
      </w:r>
    </w:p>
    <w:p w14:paraId="6119844A" w14:textId="3BDC1B68" w:rsidR="000A33A5" w:rsidRPr="000A33A5" w:rsidRDefault="000A33A5" w:rsidP="000A33A5">
      <w:pPr>
        <w:suppressLineNumbers/>
        <w:jc w:val="both"/>
        <w:rPr>
          <w:rFonts w:ascii="Arial" w:hAnsi="Arial" w:cs="Arial"/>
          <w:color w:val="000000"/>
          <w:sz w:val="20"/>
          <w:szCs w:val="20"/>
        </w:rPr>
      </w:pPr>
      <w:r w:rsidRPr="001F0E15">
        <w:rPr>
          <w:rFonts w:ascii="Arial" w:hAnsi="Arial" w:cs="Arial"/>
          <w:b/>
          <w:sz w:val="20"/>
          <w:szCs w:val="20"/>
        </w:rPr>
        <w:t>Abbreviations:</w:t>
      </w:r>
      <w:r>
        <w:rPr>
          <w:rFonts w:ascii="Arial" w:hAnsi="Arial" w:cs="Arial"/>
          <w:sz w:val="20"/>
          <w:szCs w:val="20"/>
        </w:rPr>
        <w:t xml:space="preserve"> </w:t>
      </w:r>
      <w:r w:rsidR="000D11E2">
        <w:rPr>
          <w:rFonts w:ascii="Arial" w:hAnsi="Arial" w:cs="Arial"/>
          <w:sz w:val="20"/>
          <w:szCs w:val="20"/>
        </w:rPr>
        <w:t xml:space="preserve">BMI, body mass index; </w:t>
      </w:r>
      <w:r>
        <w:rPr>
          <w:rFonts w:ascii="Arial" w:hAnsi="Arial" w:cs="Arial"/>
          <w:sz w:val="20"/>
          <w:szCs w:val="20"/>
        </w:rPr>
        <w:t xml:space="preserve">M10, </w:t>
      </w:r>
      <w:r w:rsidRPr="007E16E4">
        <w:rPr>
          <w:rFonts w:ascii="Arial" w:hAnsi="Arial" w:cs="Arial"/>
          <w:sz w:val="20"/>
          <w:szCs w:val="20"/>
        </w:rPr>
        <w:t xml:space="preserve">The default </w:t>
      </w:r>
      <w:proofErr w:type="spellStart"/>
      <w:r>
        <w:rPr>
          <w:rFonts w:ascii="Arial" w:hAnsi="Arial" w:cs="Arial"/>
          <w:sz w:val="20"/>
          <w:szCs w:val="20"/>
        </w:rPr>
        <w:t>actiwatch</w:t>
      </w:r>
      <w:proofErr w:type="spellEnd"/>
      <w:r w:rsidRPr="007E16E4">
        <w:rPr>
          <w:rFonts w:ascii="Arial" w:hAnsi="Arial" w:cs="Arial"/>
          <w:sz w:val="20"/>
          <w:szCs w:val="20"/>
        </w:rPr>
        <w:t xml:space="preserve"> setting </w:t>
      </w:r>
      <w:r>
        <w:rPr>
          <w:rFonts w:ascii="Arial" w:hAnsi="Arial" w:cs="Arial"/>
          <w:sz w:val="20"/>
          <w:szCs w:val="20"/>
        </w:rPr>
        <w:t xml:space="preserve">that </w:t>
      </w:r>
      <w:r w:rsidRPr="007E16E4">
        <w:rPr>
          <w:rFonts w:ascii="Arial" w:hAnsi="Arial" w:cs="Arial"/>
          <w:sz w:val="20"/>
          <w:szCs w:val="20"/>
        </w:rPr>
        <w:t>uses a medium wake threshold with 40 counts per epochs with 10 immobile minutes for sleep onset and termination</w:t>
      </w:r>
      <w:r>
        <w:rPr>
          <w:rFonts w:ascii="Arial" w:hAnsi="Arial" w:cs="Arial"/>
          <w:sz w:val="20"/>
          <w:szCs w:val="20"/>
        </w:rPr>
        <w:t xml:space="preserve">; H5, </w:t>
      </w:r>
      <w:proofErr w:type="spellStart"/>
      <w:r>
        <w:rPr>
          <w:rFonts w:ascii="Arial" w:hAnsi="Arial" w:cs="Arial"/>
          <w:sz w:val="20"/>
          <w:szCs w:val="20"/>
        </w:rPr>
        <w:t>actiwatch</w:t>
      </w:r>
      <w:proofErr w:type="spellEnd"/>
      <w:r w:rsidRPr="007E16E4">
        <w:rPr>
          <w:rFonts w:ascii="Arial" w:hAnsi="Arial" w:cs="Arial"/>
          <w:sz w:val="20"/>
          <w:szCs w:val="20"/>
        </w:rPr>
        <w:t xml:space="preserve"> setting </w:t>
      </w:r>
      <w:r>
        <w:rPr>
          <w:rFonts w:ascii="Arial" w:hAnsi="Arial" w:cs="Arial"/>
          <w:sz w:val="20"/>
          <w:szCs w:val="20"/>
        </w:rPr>
        <w:t>that has</w:t>
      </w:r>
      <w:r w:rsidRPr="007E16E4">
        <w:rPr>
          <w:rFonts w:ascii="Arial" w:hAnsi="Arial" w:cs="Arial"/>
          <w:sz w:val="20"/>
          <w:szCs w:val="20"/>
        </w:rPr>
        <w:t xml:space="preserve"> a higher wake threshold of 80 counts per epoch and 5 immobility minutes for sleep onset and termination</w:t>
      </w:r>
      <w:r>
        <w:rPr>
          <w:rFonts w:ascii="Arial" w:hAnsi="Arial" w:cs="Arial"/>
          <w:sz w:val="20"/>
          <w:szCs w:val="20"/>
        </w:rPr>
        <w:t>.</w:t>
      </w:r>
    </w:p>
    <w:p w14:paraId="57E70114" w14:textId="77777777" w:rsidR="00887E7D" w:rsidRPr="000A33A5" w:rsidRDefault="00887E7D" w:rsidP="00887E7D">
      <w:pPr>
        <w:suppressLineNumbers/>
        <w:rPr>
          <w:rFonts w:ascii="Arial" w:hAnsi="Arial" w:cs="Arial"/>
          <w:b/>
          <w:sz w:val="20"/>
          <w:szCs w:val="20"/>
        </w:rPr>
      </w:pPr>
    </w:p>
    <w:p w14:paraId="4EEBB4CE" w14:textId="2B57A776" w:rsidR="008F75B7" w:rsidRPr="000A33A5" w:rsidRDefault="008F75B7" w:rsidP="00650308">
      <w:pPr>
        <w:suppressLineNumbers/>
        <w:rPr>
          <w:rFonts w:ascii="Arial" w:hAnsi="Arial" w:cs="Arial"/>
          <w:sz w:val="20"/>
          <w:szCs w:val="20"/>
        </w:rPr>
      </w:pPr>
    </w:p>
    <w:sectPr w:rsidR="008F75B7" w:rsidRPr="000A33A5" w:rsidSect="00F95FAA">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FFEB1" w14:textId="77777777" w:rsidR="00F50104" w:rsidRDefault="00F50104" w:rsidP="00E03E53">
      <w:r>
        <w:separator/>
      </w:r>
    </w:p>
  </w:endnote>
  <w:endnote w:type="continuationSeparator" w:id="0">
    <w:p w14:paraId="438B3A2A" w14:textId="77777777" w:rsidR="00F50104" w:rsidRDefault="00F50104" w:rsidP="00E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enSans-Light,Italic">
    <w:altName w:val="Yu Gothic"/>
    <w:panose1 w:val="020B0604020202020204"/>
    <w:charset w:val="80"/>
    <w:family w:val="auto"/>
    <w:notTrueType/>
    <w:pitch w:val="default"/>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1544717"/>
      <w:docPartObj>
        <w:docPartGallery w:val="Page Numbers (Bottom of Page)"/>
        <w:docPartUnique/>
      </w:docPartObj>
    </w:sdtPr>
    <w:sdtEndPr>
      <w:rPr>
        <w:rStyle w:val="PageNumber"/>
      </w:rPr>
    </w:sdtEndPr>
    <w:sdtContent>
      <w:p w14:paraId="74D79156" w14:textId="5CB64079" w:rsidR="00E03E53" w:rsidRDefault="00E03E53" w:rsidP="00FA34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AF00A" w14:textId="77777777" w:rsidR="00E03E53" w:rsidRDefault="00E03E53" w:rsidP="00E03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9702200"/>
      <w:docPartObj>
        <w:docPartGallery w:val="Page Numbers (Bottom of Page)"/>
        <w:docPartUnique/>
      </w:docPartObj>
    </w:sdtPr>
    <w:sdtEndPr>
      <w:rPr>
        <w:rStyle w:val="PageNumber"/>
      </w:rPr>
    </w:sdtEndPr>
    <w:sdtContent>
      <w:p w14:paraId="225EFB2B" w14:textId="42BE6C48" w:rsidR="00E03E53" w:rsidRDefault="00E03E53" w:rsidP="00FA34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926CA7" w14:textId="77777777" w:rsidR="00E03E53" w:rsidRDefault="00E03E53" w:rsidP="00E03E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E79A" w14:textId="77777777" w:rsidR="00F50104" w:rsidRDefault="00F50104" w:rsidP="00E03E53">
      <w:r>
        <w:separator/>
      </w:r>
    </w:p>
  </w:footnote>
  <w:footnote w:type="continuationSeparator" w:id="0">
    <w:p w14:paraId="003ED38D" w14:textId="77777777" w:rsidR="00F50104" w:rsidRDefault="00F50104" w:rsidP="00E03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7D"/>
    <w:rsid w:val="000125DC"/>
    <w:rsid w:val="00020235"/>
    <w:rsid w:val="00020AE7"/>
    <w:rsid w:val="0003142E"/>
    <w:rsid w:val="00044691"/>
    <w:rsid w:val="00046B15"/>
    <w:rsid w:val="000738B5"/>
    <w:rsid w:val="00076970"/>
    <w:rsid w:val="0008018A"/>
    <w:rsid w:val="000851F5"/>
    <w:rsid w:val="000902C3"/>
    <w:rsid w:val="00091F00"/>
    <w:rsid w:val="000A33A5"/>
    <w:rsid w:val="000A503B"/>
    <w:rsid w:val="000A5F69"/>
    <w:rsid w:val="000A7149"/>
    <w:rsid w:val="000B4F09"/>
    <w:rsid w:val="000C0C6C"/>
    <w:rsid w:val="000D11E2"/>
    <w:rsid w:val="000F50A0"/>
    <w:rsid w:val="000F79E3"/>
    <w:rsid w:val="001001DE"/>
    <w:rsid w:val="00144956"/>
    <w:rsid w:val="001567CB"/>
    <w:rsid w:val="00175C34"/>
    <w:rsid w:val="001A060C"/>
    <w:rsid w:val="001F1CA6"/>
    <w:rsid w:val="0020783D"/>
    <w:rsid w:val="00230436"/>
    <w:rsid w:val="002344BB"/>
    <w:rsid w:val="002471D9"/>
    <w:rsid w:val="00257B83"/>
    <w:rsid w:val="00262021"/>
    <w:rsid w:val="00270E0B"/>
    <w:rsid w:val="002873DE"/>
    <w:rsid w:val="00291B6E"/>
    <w:rsid w:val="002942B4"/>
    <w:rsid w:val="002A0B74"/>
    <w:rsid w:val="002A28CA"/>
    <w:rsid w:val="002A6B0E"/>
    <w:rsid w:val="002B2570"/>
    <w:rsid w:val="002C40F8"/>
    <w:rsid w:val="002E1C7A"/>
    <w:rsid w:val="002F33D9"/>
    <w:rsid w:val="0030023A"/>
    <w:rsid w:val="00344B44"/>
    <w:rsid w:val="00350849"/>
    <w:rsid w:val="00353980"/>
    <w:rsid w:val="00367ABC"/>
    <w:rsid w:val="00380F49"/>
    <w:rsid w:val="00387653"/>
    <w:rsid w:val="00391391"/>
    <w:rsid w:val="003B77C7"/>
    <w:rsid w:val="003D7D56"/>
    <w:rsid w:val="00414E12"/>
    <w:rsid w:val="00417038"/>
    <w:rsid w:val="0043001E"/>
    <w:rsid w:val="00453601"/>
    <w:rsid w:val="00460076"/>
    <w:rsid w:val="004662B6"/>
    <w:rsid w:val="00494B23"/>
    <w:rsid w:val="004A0D95"/>
    <w:rsid w:val="004E769A"/>
    <w:rsid w:val="0056748D"/>
    <w:rsid w:val="00571B38"/>
    <w:rsid w:val="00596A31"/>
    <w:rsid w:val="005A117A"/>
    <w:rsid w:val="005A3030"/>
    <w:rsid w:val="005A5DED"/>
    <w:rsid w:val="005F72B5"/>
    <w:rsid w:val="00602F23"/>
    <w:rsid w:val="00614688"/>
    <w:rsid w:val="00623ADF"/>
    <w:rsid w:val="00624E9C"/>
    <w:rsid w:val="00631466"/>
    <w:rsid w:val="00650308"/>
    <w:rsid w:val="00650C15"/>
    <w:rsid w:val="00655048"/>
    <w:rsid w:val="00660757"/>
    <w:rsid w:val="00666749"/>
    <w:rsid w:val="0067715B"/>
    <w:rsid w:val="006B3723"/>
    <w:rsid w:val="006C57FD"/>
    <w:rsid w:val="006C79B2"/>
    <w:rsid w:val="006E62A0"/>
    <w:rsid w:val="00725A7F"/>
    <w:rsid w:val="00726538"/>
    <w:rsid w:val="00730C84"/>
    <w:rsid w:val="00751437"/>
    <w:rsid w:val="007703B2"/>
    <w:rsid w:val="007743AE"/>
    <w:rsid w:val="007A14B0"/>
    <w:rsid w:val="007D2524"/>
    <w:rsid w:val="00800C5A"/>
    <w:rsid w:val="008049B9"/>
    <w:rsid w:val="008328D3"/>
    <w:rsid w:val="00840C4D"/>
    <w:rsid w:val="00853139"/>
    <w:rsid w:val="008712DC"/>
    <w:rsid w:val="00873A39"/>
    <w:rsid w:val="00887E7D"/>
    <w:rsid w:val="0089363F"/>
    <w:rsid w:val="00896003"/>
    <w:rsid w:val="008A4BF3"/>
    <w:rsid w:val="008B4DD8"/>
    <w:rsid w:val="008C7CFB"/>
    <w:rsid w:val="008D1A34"/>
    <w:rsid w:val="008D32D5"/>
    <w:rsid w:val="008E41E4"/>
    <w:rsid w:val="008F1EF8"/>
    <w:rsid w:val="008F75B7"/>
    <w:rsid w:val="008F7E61"/>
    <w:rsid w:val="009126A9"/>
    <w:rsid w:val="00915BDE"/>
    <w:rsid w:val="0092006F"/>
    <w:rsid w:val="00946A17"/>
    <w:rsid w:val="00965118"/>
    <w:rsid w:val="00970B22"/>
    <w:rsid w:val="00973ED5"/>
    <w:rsid w:val="009770B6"/>
    <w:rsid w:val="0099094F"/>
    <w:rsid w:val="009B4E0F"/>
    <w:rsid w:val="009F42FF"/>
    <w:rsid w:val="00A03CCD"/>
    <w:rsid w:val="00A1115C"/>
    <w:rsid w:val="00A338F5"/>
    <w:rsid w:val="00A571E2"/>
    <w:rsid w:val="00A61767"/>
    <w:rsid w:val="00A64B8F"/>
    <w:rsid w:val="00A737A0"/>
    <w:rsid w:val="00A8119D"/>
    <w:rsid w:val="00A83A78"/>
    <w:rsid w:val="00A84B62"/>
    <w:rsid w:val="00A864EC"/>
    <w:rsid w:val="00AA1528"/>
    <w:rsid w:val="00AB383E"/>
    <w:rsid w:val="00AB70EF"/>
    <w:rsid w:val="00AD3797"/>
    <w:rsid w:val="00AD4005"/>
    <w:rsid w:val="00AE2EE2"/>
    <w:rsid w:val="00B018EF"/>
    <w:rsid w:val="00B53A22"/>
    <w:rsid w:val="00B5741D"/>
    <w:rsid w:val="00B656E2"/>
    <w:rsid w:val="00B83772"/>
    <w:rsid w:val="00BC08D6"/>
    <w:rsid w:val="00BC49C8"/>
    <w:rsid w:val="00BC56C7"/>
    <w:rsid w:val="00BC6E9F"/>
    <w:rsid w:val="00BF1403"/>
    <w:rsid w:val="00C05911"/>
    <w:rsid w:val="00C328FA"/>
    <w:rsid w:val="00C51B53"/>
    <w:rsid w:val="00C73352"/>
    <w:rsid w:val="00C97526"/>
    <w:rsid w:val="00CB00E3"/>
    <w:rsid w:val="00CB4F4E"/>
    <w:rsid w:val="00CC2D16"/>
    <w:rsid w:val="00CE0F04"/>
    <w:rsid w:val="00CF4C92"/>
    <w:rsid w:val="00D10045"/>
    <w:rsid w:val="00D5235C"/>
    <w:rsid w:val="00D631D8"/>
    <w:rsid w:val="00D708CB"/>
    <w:rsid w:val="00D809D1"/>
    <w:rsid w:val="00D86998"/>
    <w:rsid w:val="00DA1DF3"/>
    <w:rsid w:val="00DB463B"/>
    <w:rsid w:val="00DC00FB"/>
    <w:rsid w:val="00DC07BA"/>
    <w:rsid w:val="00DD0B5C"/>
    <w:rsid w:val="00DE0D4D"/>
    <w:rsid w:val="00E01C63"/>
    <w:rsid w:val="00E03E53"/>
    <w:rsid w:val="00E04515"/>
    <w:rsid w:val="00E05F2F"/>
    <w:rsid w:val="00E237D1"/>
    <w:rsid w:val="00E23FF5"/>
    <w:rsid w:val="00E5271E"/>
    <w:rsid w:val="00E56D94"/>
    <w:rsid w:val="00E600F1"/>
    <w:rsid w:val="00E661C7"/>
    <w:rsid w:val="00E85635"/>
    <w:rsid w:val="00EA3855"/>
    <w:rsid w:val="00EB271A"/>
    <w:rsid w:val="00ED1B5E"/>
    <w:rsid w:val="00EF6E01"/>
    <w:rsid w:val="00F03E67"/>
    <w:rsid w:val="00F05D73"/>
    <w:rsid w:val="00F224A7"/>
    <w:rsid w:val="00F3585F"/>
    <w:rsid w:val="00F50104"/>
    <w:rsid w:val="00F57991"/>
    <w:rsid w:val="00F62D07"/>
    <w:rsid w:val="00F86B69"/>
    <w:rsid w:val="00F929CE"/>
    <w:rsid w:val="00F95FAA"/>
    <w:rsid w:val="00FA0401"/>
    <w:rsid w:val="00FA5E43"/>
    <w:rsid w:val="00FC5216"/>
    <w:rsid w:val="00FD225E"/>
    <w:rsid w:val="00FE3D84"/>
    <w:rsid w:val="00FE54C2"/>
    <w:rsid w:val="00FF65C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7562"/>
  <w15:chartTrackingRefBased/>
  <w15:docId w15:val="{BE951940-2611-E848-929F-503A785C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E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E7D"/>
    <w:rPr>
      <w:rFonts w:eastAsiaTheme="minorEastAsia"/>
      <w:lang w:val="en-US"/>
    </w:rPr>
  </w:style>
  <w:style w:type="table" w:styleId="TableGrid">
    <w:name w:val="Table Grid"/>
    <w:basedOn w:val="TableNormal"/>
    <w:uiPriority w:val="39"/>
    <w:rsid w:val="0088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3E53"/>
    <w:pPr>
      <w:tabs>
        <w:tab w:val="center" w:pos="4680"/>
        <w:tab w:val="right" w:pos="9360"/>
      </w:tabs>
    </w:pPr>
  </w:style>
  <w:style w:type="character" w:customStyle="1" w:styleId="FooterChar">
    <w:name w:val="Footer Char"/>
    <w:basedOn w:val="DefaultParagraphFont"/>
    <w:link w:val="Footer"/>
    <w:uiPriority w:val="99"/>
    <w:rsid w:val="00E03E53"/>
    <w:rPr>
      <w:rFonts w:ascii="Times New Roman" w:eastAsia="Times New Roman" w:hAnsi="Times New Roman" w:cs="Times New Roman"/>
    </w:rPr>
  </w:style>
  <w:style w:type="character" w:styleId="PageNumber">
    <w:name w:val="page number"/>
    <w:basedOn w:val="DefaultParagraphFont"/>
    <w:uiPriority w:val="99"/>
    <w:semiHidden/>
    <w:unhideWhenUsed/>
    <w:rsid w:val="00E03E53"/>
  </w:style>
  <w:style w:type="paragraph" w:styleId="BalloonText">
    <w:name w:val="Balloon Text"/>
    <w:basedOn w:val="Normal"/>
    <w:link w:val="BalloonTextChar"/>
    <w:uiPriority w:val="99"/>
    <w:semiHidden/>
    <w:unhideWhenUsed/>
    <w:rsid w:val="005A5DED"/>
    <w:rPr>
      <w:sz w:val="18"/>
      <w:szCs w:val="18"/>
    </w:rPr>
  </w:style>
  <w:style w:type="character" w:customStyle="1" w:styleId="BalloonTextChar">
    <w:name w:val="Balloon Text Char"/>
    <w:basedOn w:val="DefaultParagraphFont"/>
    <w:link w:val="BalloonText"/>
    <w:uiPriority w:val="99"/>
    <w:semiHidden/>
    <w:rsid w:val="005A5DE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4570">
      <w:bodyDiv w:val="1"/>
      <w:marLeft w:val="0"/>
      <w:marRight w:val="0"/>
      <w:marTop w:val="0"/>
      <w:marBottom w:val="0"/>
      <w:divBdr>
        <w:top w:val="none" w:sz="0" w:space="0" w:color="auto"/>
        <w:left w:val="none" w:sz="0" w:space="0" w:color="auto"/>
        <w:bottom w:val="none" w:sz="0" w:space="0" w:color="auto"/>
        <w:right w:val="none" w:sz="0" w:space="0" w:color="auto"/>
      </w:divBdr>
    </w:div>
    <w:div w:id="9554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Hosein Aghayan Golkashani</dc:creator>
  <cp:keywords/>
  <dc:description/>
  <cp:lastModifiedBy>Hosein Aghayan Golkashani</cp:lastModifiedBy>
  <cp:revision>32</cp:revision>
  <dcterms:created xsi:type="dcterms:W3CDTF">2020-10-07T11:31:00Z</dcterms:created>
  <dcterms:modified xsi:type="dcterms:W3CDTF">2020-12-07T12:27:00Z</dcterms:modified>
</cp:coreProperties>
</file>