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118"/>
        <w:tblOverlap w:val="never"/>
        <w:tblW w:w="783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421"/>
        <w:gridCol w:w="1421"/>
        <w:gridCol w:w="1428"/>
        <w:gridCol w:w="142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3" w:type="dxa"/>
            <w:vMerge w:val="restart"/>
            <w:tcBorders>
              <w:top w:val="single" w:color="auto" w:sz="12" w:space="0"/>
            </w:tcBorders>
            <w:shd w:val="clear" w:color="auto" w:fill="D7D7D7" w:themeFill="background1" w:themeFillShade="D8"/>
          </w:tcPr>
          <w:p>
            <w:pPr>
              <w:rPr>
                <w:vertAlign w:val="baseline"/>
              </w:rPr>
            </w:pPr>
            <w:r>
              <w:rPr>
                <w:rFonts w:hint="eastAsia" w:hAnsi="Arial" w:eastAsia="仿宋" w:cs="Arial" w:asciiTheme="minorAscii"/>
                <w:b w:val="0"/>
                <w:bCs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hAnsi="Arial" w:eastAsia="仿宋" w:cs="Arial" w:asciiTheme="minorAscii"/>
                <w:b w:val="0"/>
                <w:bCs w:val="0"/>
                <w:sz w:val="22"/>
                <w:szCs w:val="22"/>
              </w:rPr>
              <w:t>haracteristics</w:t>
            </w:r>
          </w:p>
        </w:tc>
        <w:tc>
          <w:tcPr>
            <w:tcW w:w="1421" w:type="dxa"/>
            <w:vMerge w:val="restart"/>
            <w:tcBorders>
              <w:top w:val="single" w:color="auto" w:sz="12" w:space="0"/>
            </w:tcBorders>
            <w:shd w:val="clear" w:color="auto" w:fill="D7D7D7" w:themeFill="background1" w:themeFillShade="D8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Case</w:t>
            </w:r>
          </w:p>
        </w:tc>
        <w:tc>
          <w:tcPr>
            <w:tcW w:w="2849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D7D7D7" w:themeFill="background1" w:themeFillShade="D8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CircARPP21 expression</w:t>
            </w:r>
          </w:p>
        </w:tc>
        <w:tc>
          <w:tcPr>
            <w:tcW w:w="1425" w:type="dxa"/>
            <w:vMerge w:val="restart"/>
            <w:tcBorders>
              <w:top w:val="single" w:color="auto" w:sz="12" w:space="0"/>
            </w:tcBorders>
            <w:shd w:val="clear" w:color="auto" w:fill="D7D7D7" w:themeFill="background1" w:themeFillShade="D8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43" w:type="dxa"/>
            <w:vMerge w:val="continue"/>
            <w:tcBorders>
              <w:bottom w:val="single" w:color="auto" w:sz="12" w:space="0"/>
            </w:tcBorders>
            <w:shd w:val="clear" w:color="auto" w:fill="D7D7D7" w:themeFill="background1" w:themeFillShade="D8"/>
          </w:tcPr>
          <w:p/>
        </w:tc>
        <w:tc>
          <w:tcPr>
            <w:tcW w:w="1421" w:type="dxa"/>
            <w:vMerge w:val="continue"/>
            <w:tcBorders>
              <w:bottom w:val="single" w:color="auto" w:sz="12" w:space="0"/>
            </w:tcBorders>
            <w:shd w:val="clear" w:color="auto" w:fill="D7D7D7" w:themeFill="background1" w:themeFillShade="D8"/>
          </w:tcPr>
          <w:p/>
        </w:tc>
        <w:tc>
          <w:tcPr>
            <w:tcW w:w="142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D7D7D7" w:themeFill="background1" w:themeFillShade="D8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Low</w:t>
            </w:r>
          </w:p>
        </w:tc>
        <w:tc>
          <w:tcPr>
            <w:tcW w:w="142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D7D7D7" w:themeFill="background1" w:themeFillShade="D8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High</w:t>
            </w:r>
          </w:p>
        </w:tc>
        <w:tc>
          <w:tcPr>
            <w:tcW w:w="1425" w:type="dxa"/>
            <w:vMerge w:val="continue"/>
            <w:tcBorders>
              <w:bottom w:val="single" w:color="auto" w:sz="12" w:space="0"/>
            </w:tcBorders>
            <w:shd w:val="clear" w:color="auto" w:fill="D7D7D7" w:themeFill="background1" w:themeFillShade="D8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43" w:type="dxa"/>
            <w:tcBorders>
              <w:top w:val="single" w:color="auto" w:sz="12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All cases</w:t>
            </w:r>
          </w:p>
        </w:tc>
        <w:tc>
          <w:tcPr>
            <w:tcW w:w="1421" w:type="dxa"/>
            <w:tcBorders>
              <w:top w:val="single" w:color="auto" w:sz="12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421" w:type="dxa"/>
            <w:tcBorders>
              <w:top w:val="single" w:color="auto" w:sz="12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428" w:type="dxa"/>
            <w:tcBorders>
              <w:top w:val="single" w:color="auto" w:sz="12" w:space="0"/>
            </w:tcBorders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425" w:type="dxa"/>
            <w:tcBorders>
              <w:top w:val="single" w:color="auto" w:sz="12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38" w:type="dxa"/>
            <w:gridSpan w:val="5"/>
            <w:shd w:val="clear" w:color="auto" w:fill="F1F1F1" w:themeFill="background1" w:themeFillShade="F2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Gender                                                       .2667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564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Male                43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42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2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Female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Age(years)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.5076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＜60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≥60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42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42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Tumor size（cm）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.0018</w:t>
            </w:r>
            <w:bookmarkStart w:id="0" w:name="OLE_LINK1"/>
            <w:r>
              <w:rPr>
                <w:rFonts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  <w:t>*</w:t>
            </w:r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≤5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2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4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＞5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HBsAg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.4827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Positive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Negative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2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AFP（ng/mL）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.0351</w:t>
            </w:r>
            <w:r>
              <w:rPr>
                <w:rFonts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  <w:t>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≤400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42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4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＞400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4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Tumor number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.2825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Solitary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4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Multiple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2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3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TNM stage</w:t>
            </w: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8" w:type="dxa"/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  <w:tc>
          <w:tcPr>
            <w:tcW w:w="1425" w:type="dxa"/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vertAlign w:val="baseline"/>
                <w:lang w:val="en-US" w:eastAsia="zh-CN"/>
              </w:rPr>
              <w:t>.0008</w:t>
            </w:r>
            <w:bookmarkStart w:id="1" w:name="OLE_LINK2"/>
            <w:r>
              <w:rPr>
                <w:rFonts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  <w:t>*</w:t>
            </w:r>
            <w:bookmarkEnd w:id="1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Ⅰ</w:t>
            </w:r>
            <w:r>
              <w:rPr>
                <w:rFonts w:hint="eastAsia"/>
                <w:vertAlign w:val="baseline"/>
                <w:lang w:val="en-US" w:eastAsia="zh-CN"/>
              </w:rPr>
              <w:t>+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Ⅱ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42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3" w:type="dxa"/>
            <w:tcBorders>
              <w:bottom w:val="single" w:color="auto" w:sz="12" w:space="0"/>
            </w:tcBorders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Ⅲ</w:t>
            </w:r>
            <w:r>
              <w:rPr>
                <w:rFonts w:hint="eastAsia"/>
                <w:vertAlign w:val="baseline"/>
                <w:lang w:val="en-US" w:eastAsia="zh-CN"/>
              </w:rPr>
              <w:t>+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Ⅳ</w:t>
            </w:r>
          </w:p>
        </w:tc>
        <w:tc>
          <w:tcPr>
            <w:tcW w:w="1421" w:type="dxa"/>
            <w:tcBorders>
              <w:bottom w:val="single" w:color="auto" w:sz="12" w:space="0"/>
            </w:tcBorders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421" w:type="dxa"/>
            <w:tcBorders>
              <w:bottom w:val="single" w:color="auto" w:sz="12" w:space="0"/>
            </w:tcBorders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428" w:type="dxa"/>
            <w:tcBorders>
              <w:bottom w:val="single" w:color="auto" w:sz="12" w:space="0"/>
            </w:tcBorders>
            <w:shd w:val="clear" w:color="auto" w:fill="F1F1F1" w:themeFill="background1" w:themeFillShade="F2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bottom w:val="single" w:color="auto" w:sz="12" w:space="0"/>
            </w:tcBorders>
            <w:shd w:val="clear" w:color="auto" w:fill="F1F1F1" w:themeFill="background1" w:themeFillShade="F2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Table 1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Correlation between clinicopathological characteristics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and CircARPP21 expression level in HCC patients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p>
      <w:pPr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ascii="Arial" w:hAnsi="Arial" w:eastAsia="宋体" w:cs="Arial"/>
          <w:i w:val="0"/>
          <w:color w:val="auto"/>
          <w:sz w:val="20"/>
          <w:szCs w:val="20"/>
          <w:u w:val="none"/>
        </w:rPr>
        <w:t>*</w:t>
      </w:r>
      <w:r>
        <w:rPr>
          <w:rFonts w:hint="eastAsia" w:ascii="Arial" w:hAnsi="Arial" w:eastAsia="宋体" w:cs="Arial"/>
          <w:i w:val="0"/>
          <w:color w:val="auto"/>
          <w:sz w:val="20"/>
          <w:szCs w:val="20"/>
          <w:u w:val="none"/>
          <w:lang w:val="en-US" w:eastAsia="zh-CN"/>
        </w:rPr>
        <w:t>indicates p＜0.05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82725"/>
    <w:rsid w:val="08D82725"/>
    <w:rsid w:val="0C9B34C3"/>
    <w:rsid w:val="0D107115"/>
    <w:rsid w:val="53D038D0"/>
    <w:rsid w:val="5D1C0113"/>
    <w:rsid w:val="69F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2020-08-11T16:36:00Z</dcterms:created>
  <dc:creator>顾轶超</dc:creator>
  <cp:lastModifiedBy>顾轶超</cp:lastModifiedBy>
  <dcterms:modified xsi:type="dcterms:W3CDTF">2020-08-20T16:59:48Z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