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ADE27" w14:textId="77777777" w:rsidR="005E6172" w:rsidRPr="00694BF1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694BF1">
        <w:rPr>
          <w:rFonts w:ascii="Arial" w:hAnsi="Arial" w:cs="Arial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8D81649" wp14:editId="74DBCAC1">
            <wp:simplePos x="0" y="0"/>
            <wp:positionH relativeFrom="column">
              <wp:posOffset>635</wp:posOffset>
            </wp:positionH>
            <wp:positionV relativeFrom="paragraph">
              <wp:posOffset>541655</wp:posOffset>
            </wp:positionV>
            <wp:extent cx="5400040" cy="5896610"/>
            <wp:effectExtent l="0" t="0" r="0" b="889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BF1">
        <w:rPr>
          <w:rFonts w:ascii="Arial" w:hAnsi="Arial" w:cs="Arial"/>
          <w:b/>
          <w:bCs/>
          <w:sz w:val="20"/>
          <w:szCs w:val="20"/>
        </w:rPr>
        <w:t>Appendix A. Supplementary data</w:t>
      </w:r>
    </w:p>
    <w:p w14:paraId="2E19759B" w14:textId="1B2563D0" w:rsidR="005E6172" w:rsidRPr="00BD4ECC" w:rsidRDefault="005E6172" w:rsidP="005E6172">
      <w:pPr>
        <w:spacing w:line="480" w:lineRule="auto"/>
        <w:rPr>
          <w:rFonts w:ascii="Arial" w:hAnsi="Arial" w:cs="Arial"/>
          <w:sz w:val="20"/>
          <w:szCs w:val="20"/>
        </w:rPr>
      </w:pPr>
      <w:r w:rsidRPr="00694BF1">
        <w:rPr>
          <w:rFonts w:ascii="Arial" w:hAnsi="Arial" w:cs="Arial"/>
          <w:b/>
          <w:bCs/>
          <w:sz w:val="20"/>
          <w:szCs w:val="20"/>
        </w:rPr>
        <w:t>Figure S1</w:t>
      </w:r>
      <w:r w:rsidRPr="00694BF1">
        <w:rPr>
          <w:rFonts w:ascii="Arial" w:hAnsi="Arial" w:cs="Arial"/>
          <w:b/>
          <w:sz w:val="20"/>
          <w:szCs w:val="20"/>
        </w:rPr>
        <w:t>.</w:t>
      </w:r>
      <w:bookmarkStart w:id="0" w:name="_Hlk28113938"/>
      <w:r w:rsidRPr="00694BF1">
        <w:rPr>
          <w:rFonts w:ascii="Arial" w:hAnsi="Arial" w:cs="Arial"/>
          <w:sz w:val="20"/>
          <w:szCs w:val="20"/>
        </w:rPr>
        <w:t xml:space="preserve"> </w:t>
      </w:r>
      <w:bookmarkEnd w:id="0"/>
      <w:r w:rsidRPr="00694BF1">
        <w:rPr>
          <w:rFonts w:ascii="Arial" w:hAnsi="Arial" w:cs="Arial"/>
          <w:sz w:val="20"/>
          <w:szCs w:val="20"/>
        </w:rPr>
        <w:t xml:space="preserve">(A) </w:t>
      </w:r>
      <w:r w:rsidRPr="00A15929">
        <w:rPr>
          <w:rFonts w:ascii="Arial" w:hAnsi="Arial" w:cs="Arial"/>
          <w:sz w:val="20"/>
          <w:szCs w:val="20"/>
        </w:rPr>
        <w:t xml:space="preserve">Cell viability of different cell lines treated with sorafenib (5 </w:t>
      </w:r>
      <w:proofErr w:type="spellStart"/>
      <w:r w:rsidRPr="00A15929">
        <w:rPr>
          <w:rFonts w:ascii="Arial" w:hAnsi="Arial" w:cs="Arial"/>
          <w:sz w:val="20"/>
          <w:szCs w:val="20"/>
        </w:rPr>
        <w:t>μmol</w:t>
      </w:r>
      <w:proofErr w:type="spellEnd"/>
      <w:r w:rsidRPr="00A15929">
        <w:rPr>
          <w:rFonts w:ascii="Arial" w:hAnsi="Arial" w:cs="Arial"/>
          <w:sz w:val="20"/>
          <w:szCs w:val="20"/>
        </w:rPr>
        <w:t xml:space="preserve">/ml, 24 h), as determined using the </w:t>
      </w:r>
      <w:r w:rsidRPr="00694BF1">
        <w:rPr>
          <w:rFonts w:ascii="Arial" w:hAnsi="Arial" w:cs="Arial"/>
          <w:sz w:val="20"/>
          <w:szCs w:val="20"/>
        </w:rPr>
        <w:t xml:space="preserve">MTT </w:t>
      </w:r>
      <w:r w:rsidRPr="00A15929">
        <w:rPr>
          <w:rFonts w:ascii="Arial" w:hAnsi="Arial" w:cs="Arial"/>
          <w:sz w:val="20"/>
          <w:szCs w:val="20"/>
        </w:rPr>
        <w:t>assay</w:t>
      </w:r>
      <w:r w:rsidRPr="00694BF1">
        <w:rPr>
          <w:rFonts w:ascii="Arial" w:hAnsi="Arial" w:cs="Arial"/>
          <w:sz w:val="20"/>
          <w:szCs w:val="20"/>
        </w:rPr>
        <w:t xml:space="preserve">. (B) Western blotting was performed to measure </w:t>
      </w:r>
      <w:r w:rsidRPr="00A15929">
        <w:rPr>
          <w:rFonts w:ascii="Arial" w:hAnsi="Arial" w:cs="Arial"/>
          <w:sz w:val="20"/>
          <w:szCs w:val="20"/>
        </w:rPr>
        <w:t>levels of</w:t>
      </w:r>
      <w:r w:rsidRPr="00694BF1">
        <w:rPr>
          <w:rFonts w:ascii="Arial" w:hAnsi="Arial" w:cs="Arial"/>
          <w:sz w:val="20"/>
          <w:szCs w:val="20"/>
        </w:rPr>
        <w:t xml:space="preserve"> autophagy</w:t>
      </w:r>
      <w:r w:rsidRPr="00A15929">
        <w:rPr>
          <w:rFonts w:ascii="Arial" w:hAnsi="Arial" w:cs="Arial"/>
          <w:sz w:val="20"/>
          <w:szCs w:val="20"/>
        </w:rPr>
        <w:t>-related proteins in</w:t>
      </w:r>
      <w:r w:rsidRPr="00694BF1">
        <w:rPr>
          <w:rFonts w:ascii="Arial" w:hAnsi="Arial" w:cs="Arial"/>
          <w:sz w:val="20"/>
          <w:szCs w:val="20"/>
        </w:rPr>
        <w:t xml:space="preserve"> HepG2 cells treated with </w:t>
      </w:r>
      <w:r w:rsidRPr="00A15929">
        <w:rPr>
          <w:rFonts w:ascii="Arial" w:hAnsi="Arial" w:cs="Arial"/>
          <w:sz w:val="20"/>
          <w:szCs w:val="20"/>
        </w:rPr>
        <w:t>various</w:t>
      </w:r>
      <w:r w:rsidRPr="00694BF1">
        <w:rPr>
          <w:rFonts w:ascii="Arial" w:hAnsi="Arial" w:cs="Arial"/>
          <w:sz w:val="20"/>
          <w:szCs w:val="20"/>
        </w:rPr>
        <w:t xml:space="preserve"> concentrations of sorafenib. (C) The effect of sorafenib on relative green fluorescent LC3 puncta in HepG2 cells was </w:t>
      </w:r>
      <w:r w:rsidRPr="00A15929">
        <w:rPr>
          <w:rFonts w:ascii="Arial" w:hAnsi="Arial" w:cs="Arial"/>
          <w:sz w:val="20"/>
          <w:szCs w:val="20"/>
        </w:rPr>
        <w:t>evaluated using</w:t>
      </w:r>
      <w:r w:rsidRPr="00694BF1">
        <w:rPr>
          <w:rFonts w:ascii="Arial" w:hAnsi="Arial" w:cs="Arial"/>
          <w:sz w:val="20"/>
          <w:szCs w:val="20"/>
        </w:rPr>
        <w:t xml:space="preserve"> immunofluorescence.</w:t>
      </w:r>
      <w:r w:rsidR="00BD4ECC" w:rsidRPr="00BD4ECC">
        <w:t xml:space="preserve"> </w:t>
      </w:r>
      <w:r w:rsidR="00BD4ECC" w:rsidRPr="00BD4ECC">
        <w:rPr>
          <w:rFonts w:ascii="Arial" w:hAnsi="Arial" w:cs="Arial"/>
          <w:sz w:val="20"/>
          <w:szCs w:val="20"/>
        </w:rPr>
        <w:t>Data are expressed as mean ± SD of three independent experiments. The p-values represent comparisons between groups (***P &lt; 0.001).</w:t>
      </w:r>
    </w:p>
    <w:p w14:paraId="21C18351" w14:textId="77777777" w:rsidR="005E6172" w:rsidRPr="00694BF1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694BF1">
        <w:rPr>
          <w:rFonts w:ascii="Arial" w:hAnsi="Arial" w:cs="Arial"/>
          <w:b/>
          <w:bCs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EFE3EF5" wp14:editId="6AC205C2">
            <wp:simplePos x="0" y="0"/>
            <wp:positionH relativeFrom="column">
              <wp:posOffset>635</wp:posOffset>
            </wp:positionH>
            <wp:positionV relativeFrom="paragraph">
              <wp:posOffset>286910</wp:posOffset>
            </wp:positionV>
            <wp:extent cx="5400040" cy="5896610"/>
            <wp:effectExtent l="0" t="0" r="0" b="889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78342" w14:textId="77777777" w:rsidR="005E6172" w:rsidRPr="00694BF1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694BF1">
        <w:rPr>
          <w:rFonts w:ascii="Arial" w:hAnsi="Arial" w:cs="Arial"/>
          <w:b/>
          <w:bCs/>
          <w:sz w:val="20"/>
          <w:szCs w:val="20"/>
        </w:rPr>
        <w:t>Figure S2.</w:t>
      </w:r>
      <w:r w:rsidRPr="00694BF1">
        <w:rPr>
          <w:rFonts w:ascii="Arial" w:hAnsi="Arial" w:cs="Arial"/>
          <w:sz w:val="20"/>
          <w:szCs w:val="20"/>
        </w:rPr>
        <w:t xml:space="preserve"> (A) </w:t>
      </w:r>
      <w:r w:rsidRPr="00A15929">
        <w:rPr>
          <w:rFonts w:ascii="Arial" w:hAnsi="Arial" w:cs="Arial"/>
          <w:sz w:val="20"/>
          <w:szCs w:val="20"/>
        </w:rPr>
        <w:t>T</w:t>
      </w:r>
      <w:r w:rsidRPr="00694BF1">
        <w:rPr>
          <w:rFonts w:ascii="Arial" w:hAnsi="Arial" w:cs="Arial"/>
          <w:sz w:val="20"/>
          <w:szCs w:val="20"/>
        </w:rPr>
        <w:t xml:space="preserve">he relative viability of HepG2 cells treated with sorafenib </w:t>
      </w:r>
      <w:r w:rsidRPr="00A15929">
        <w:rPr>
          <w:rFonts w:ascii="Arial" w:hAnsi="Arial" w:cs="Arial"/>
          <w:sz w:val="20"/>
          <w:szCs w:val="20"/>
        </w:rPr>
        <w:t>following</w:t>
      </w:r>
      <w:r w:rsidRPr="00694BF1">
        <w:rPr>
          <w:rFonts w:ascii="Arial" w:hAnsi="Arial" w:cs="Arial"/>
          <w:sz w:val="20"/>
          <w:szCs w:val="20"/>
        </w:rPr>
        <w:t xml:space="preserve"> treatment with Baf-A1 and ULK1 silencing</w:t>
      </w:r>
      <w:r w:rsidRPr="00A15929">
        <w:rPr>
          <w:rFonts w:ascii="Arial" w:hAnsi="Arial" w:cs="Arial"/>
          <w:sz w:val="20"/>
          <w:szCs w:val="20"/>
        </w:rPr>
        <w:t xml:space="preserve"> was determined using the MTT assay</w:t>
      </w:r>
      <w:r w:rsidRPr="00694BF1">
        <w:rPr>
          <w:rFonts w:ascii="Arial" w:hAnsi="Arial" w:cs="Arial"/>
          <w:sz w:val="20"/>
          <w:szCs w:val="20"/>
        </w:rPr>
        <w:t>. (B) Colony</w:t>
      </w:r>
      <w:r w:rsidRPr="00A15929">
        <w:rPr>
          <w:rFonts w:ascii="Arial" w:hAnsi="Arial" w:cs="Arial"/>
          <w:sz w:val="20"/>
          <w:szCs w:val="20"/>
        </w:rPr>
        <w:t xml:space="preserve"> </w:t>
      </w:r>
      <w:r w:rsidRPr="00694BF1">
        <w:rPr>
          <w:rFonts w:ascii="Arial" w:hAnsi="Arial" w:cs="Arial"/>
          <w:sz w:val="20"/>
          <w:szCs w:val="20"/>
        </w:rPr>
        <w:t xml:space="preserve">formation assay was performed to determine the proliferation ability of HepG2 cells co-transfected with miR-375 mimics and ATG14 </w:t>
      </w:r>
      <w:r w:rsidRPr="00A15929">
        <w:rPr>
          <w:rFonts w:ascii="Arial" w:hAnsi="Arial" w:cs="Arial"/>
          <w:sz w:val="20"/>
          <w:szCs w:val="20"/>
        </w:rPr>
        <w:t>and treated with</w:t>
      </w:r>
      <w:r w:rsidRPr="00694BF1">
        <w:rPr>
          <w:rFonts w:ascii="Arial" w:hAnsi="Arial" w:cs="Arial"/>
          <w:sz w:val="20"/>
          <w:szCs w:val="20"/>
        </w:rPr>
        <w:t xml:space="preserve"> sorafenib. (C) The levels of sorafenib-induced LC3 puncta </w:t>
      </w:r>
      <w:r w:rsidRPr="00A15929">
        <w:rPr>
          <w:rFonts w:ascii="Arial" w:hAnsi="Arial" w:cs="Arial"/>
          <w:sz w:val="20"/>
          <w:szCs w:val="20"/>
        </w:rPr>
        <w:t>were evaluated using</w:t>
      </w:r>
      <w:r w:rsidRPr="00694BF1">
        <w:rPr>
          <w:rFonts w:ascii="Arial" w:hAnsi="Arial" w:cs="Arial"/>
          <w:sz w:val="20"/>
          <w:szCs w:val="20"/>
        </w:rPr>
        <w:t xml:space="preserve"> immunofluorescence </w:t>
      </w:r>
      <w:r w:rsidRPr="00A15929">
        <w:rPr>
          <w:rFonts w:ascii="Arial" w:hAnsi="Arial" w:cs="Arial"/>
          <w:sz w:val="20"/>
          <w:szCs w:val="20"/>
        </w:rPr>
        <w:t>following</w:t>
      </w:r>
      <w:r w:rsidRPr="00694BF1">
        <w:rPr>
          <w:rFonts w:ascii="Arial" w:hAnsi="Arial" w:cs="Arial"/>
          <w:sz w:val="20"/>
          <w:szCs w:val="20"/>
        </w:rPr>
        <w:t xml:space="preserve"> treatment with miR-375 mimics in HepG2 cells.</w:t>
      </w:r>
    </w:p>
    <w:p w14:paraId="7DDCBD73" w14:textId="77777777" w:rsidR="005E6172" w:rsidRPr="00694BF1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694BF1">
        <w:rPr>
          <w:rFonts w:ascii="Arial" w:hAnsi="Arial" w:cs="Arial"/>
          <w:b/>
          <w:bCs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063CBA1" wp14:editId="7F87A565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5400040" cy="5896610"/>
            <wp:effectExtent l="0" t="0" r="0" b="889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CD433" w14:textId="77777777" w:rsidR="005E6172" w:rsidRPr="00694BF1" w:rsidRDefault="005E6172" w:rsidP="005E6172">
      <w:pPr>
        <w:spacing w:line="480" w:lineRule="auto"/>
        <w:rPr>
          <w:rFonts w:ascii="Arial" w:hAnsi="Arial" w:cs="Arial"/>
          <w:sz w:val="20"/>
          <w:szCs w:val="20"/>
        </w:rPr>
      </w:pPr>
      <w:r w:rsidRPr="00694BF1">
        <w:rPr>
          <w:rFonts w:ascii="Arial" w:hAnsi="Arial" w:cs="Arial"/>
          <w:b/>
          <w:bCs/>
          <w:sz w:val="20"/>
          <w:szCs w:val="20"/>
        </w:rPr>
        <w:t xml:space="preserve">Figure S3. </w:t>
      </w:r>
      <w:r w:rsidRPr="00694BF1">
        <w:rPr>
          <w:rFonts w:ascii="Arial" w:hAnsi="Arial" w:cs="Arial"/>
          <w:sz w:val="20"/>
          <w:szCs w:val="20"/>
        </w:rPr>
        <w:t xml:space="preserve">(A) </w:t>
      </w:r>
      <w:r w:rsidRPr="00A15929">
        <w:rPr>
          <w:rFonts w:ascii="Arial" w:hAnsi="Arial" w:cs="Arial"/>
          <w:sz w:val="20"/>
          <w:szCs w:val="20"/>
        </w:rPr>
        <w:t>T</w:t>
      </w:r>
      <w:r w:rsidRPr="00694BF1">
        <w:rPr>
          <w:rFonts w:ascii="Arial" w:hAnsi="Arial" w:cs="Arial"/>
          <w:sz w:val="20"/>
          <w:szCs w:val="20"/>
        </w:rPr>
        <w:t>he sensitivity of HepG2 cells co-transfected with miR-375 mimics and ATG14 to sorafenib</w:t>
      </w:r>
      <w:r w:rsidRPr="00A15929">
        <w:rPr>
          <w:rFonts w:ascii="Arial" w:hAnsi="Arial" w:cs="Arial"/>
          <w:sz w:val="20"/>
          <w:szCs w:val="20"/>
        </w:rPr>
        <w:t xml:space="preserve"> was determined using the MTT assay</w:t>
      </w:r>
      <w:r w:rsidRPr="00694BF1">
        <w:rPr>
          <w:rFonts w:ascii="Arial" w:hAnsi="Arial" w:cs="Arial"/>
          <w:sz w:val="20"/>
          <w:szCs w:val="20"/>
        </w:rPr>
        <w:t xml:space="preserve">. (B,C) Western blotting was </w:t>
      </w:r>
      <w:r w:rsidRPr="00A15929">
        <w:rPr>
          <w:rFonts w:ascii="Arial" w:hAnsi="Arial" w:cs="Arial"/>
          <w:sz w:val="20"/>
          <w:szCs w:val="20"/>
        </w:rPr>
        <w:t>used to determine</w:t>
      </w:r>
      <w:r w:rsidRPr="00694BF1">
        <w:rPr>
          <w:rFonts w:ascii="Arial" w:hAnsi="Arial" w:cs="Arial"/>
          <w:sz w:val="20"/>
          <w:szCs w:val="20"/>
        </w:rPr>
        <w:t xml:space="preserve"> the levels of the apoptosis-related proteins and autophagy-related proteins in HepG2 cells co-transfected with miR-375 mimics and ATG14 </w:t>
      </w:r>
      <w:r w:rsidRPr="00A15929">
        <w:rPr>
          <w:rFonts w:ascii="Arial" w:hAnsi="Arial" w:cs="Arial"/>
          <w:sz w:val="20"/>
          <w:szCs w:val="20"/>
        </w:rPr>
        <w:t>and treated with</w:t>
      </w:r>
      <w:r w:rsidRPr="00694BF1">
        <w:rPr>
          <w:rFonts w:ascii="Arial" w:hAnsi="Arial" w:cs="Arial"/>
          <w:sz w:val="20"/>
          <w:szCs w:val="20"/>
        </w:rPr>
        <w:t xml:space="preserve"> sorafenib. </w:t>
      </w:r>
    </w:p>
    <w:p w14:paraId="3C455FE6" w14:textId="7FBA0CE8" w:rsidR="005E6172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1F8E244F" w14:textId="77777777" w:rsidR="005E6172" w:rsidRPr="00694BF1" w:rsidRDefault="005E6172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4C7CDD4F" w14:textId="20FFC3F0" w:rsidR="005E6172" w:rsidRPr="00694BF1" w:rsidRDefault="00DF3AA5" w:rsidP="005E6172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DF3AA5">
        <w:rPr>
          <w:rFonts w:ascii="Arial" w:hAnsi="Arial" w:cs="Arial"/>
          <w:b/>
          <w:bCs/>
          <w:sz w:val="20"/>
          <w:szCs w:val="20"/>
        </w:rPr>
        <w:lastRenderedPageBreak/>
        <w:t>Supplementary Table 1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F3AA5">
        <w:t xml:space="preserve"> </w:t>
      </w:r>
      <w:r w:rsidRPr="00DF3AA5">
        <w:rPr>
          <w:rFonts w:ascii="Arial" w:hAnsi="Arial" w:cs="Arial"/>
          <w:sz w:val="20"/>
          <w:szCs w:val="20"/>
        </w:rPr>
        <w:t>The primer sequences used in this study</w:t>
      </w:r>
      <w:r>
        <w:rPr>
          <w:rFonts w:ascii="Arial" w:hAnsi="Arial" w:cs="Arial"/>
          <w:sz w:val="20"/>
          <w:szCs w:val="20"/>
        </w:rPr>
        <w:t>.</w:t>
      </w:r>
      <w:bookmarkStart w:id="1" w:name="_GoBack"/>
      <w:bookmarkEnd w:id="1"/>
    </w:p>
    <w:tbl>
      <w:tblPr>
        <w:tblStyle w:val="a3"/>
        <w:tblW w:w="8635" w:type="dxa"/>
        <w:tblLook w:val="04A0" w:firstRow="1" w:lastRow="0" w:firstColumn="1" w:lastColumn="0" w:noHBand="0" w:noVBand="1"/>
      </w:tblPr>
      <w:tblGrid>
        <w:gridCol w:w="1255"/>
        <w:gridCol w:w="3780"/>
        <w:gridCol w:w="3600"/>
      </w:tblGrid>
      <w:tr w:rsidR="005E6172" w:rsidRPr="004A7D00" w14:paraId="17967511" w14:textId="77777777" w:rsidTr="006F0647">
        <w:tc>
          <w:tcPr>
            <w:tcW w:w="1255" w:type="dxa"/>
          </w:tcPr>
          <w:p w14:paraId="6D4308F9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sz w:val="18"/>
                <w:szCs w:val="2"/>
              </w:rPr>
            </w:pPr>
            <w:r w:rsidRPr="004A7D00">
              <w:rPr>
                <w:rFonts w:ascii="Arial" w:hAnsi="Arial" w:cs="Arial"/>
                <w:sz w:val="18"/>
                <w:szCs w:val="2"/>
              </w:rPr>
              <w:t>Gene name</w:t>
            </w:r>
          </w:p>
        </w:tc>
        <w:tc>
          <w:tcPr>
            <w:tcW w:w="3780" w:type="dxa"/>
          </w:tcPr>
          <w:p w14:paraId="3FBC1A2A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sz w:val="18"/>
                <w:szCs w:val="2"/>
              </w:rPr>
            </w:pPr>
            <w:r w:rsidRPr="004A7D00">
              <w:rPr>
                <w:rFonts w:ascii="Arial" w:hAnsi="Arial" w:cs="Arial"/>
                <w:sz w:val="18"/>
                <w:szCs w:val="2"/>
              </w:rPr>
              <w:t>Forward primer</w:t>
            </w:r>
          </w:p>
        </w:tc>
        <w:tc>
          <w:tcPr>
            <w:tcW w:w="3600" w:type="dxa"/>
          </w:tcPr>
          <w:p w14:paraId="2E4491B4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sz w:val="18"/>
                <w:szCs w:val="2"/>
              </w:rPr>
            </w:pPr>
            <w:r w:rsidRPr="004A7D00">
              <w:rPr>
                <w:rFonts w:ascii="Arial" w:hAnsi="Arial" w:cs="Arial"/>
                <w:sz w:val="18"/>
                <w:szCs w:val="2"/>
              </w:rPr>
              <w:t>Reverse primer</w:t>
            </w:r>
          </w:p>
        </w:tc>
      </w:tr>
      <w:tr w:rsidR="005E6172" w:rsidRPr="004A7D00" w14:paraId="410D78E4" w14:textId="77777777" w:rsidTr="006F0647">
        <w:tc>
          <w:tcPr>
            <w:tcW w:w="1255" w:type="dxa"/>
          </w:tcPr>
          <w:p w14:paraId="0215DC61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miR-375</w:t>
            </w:r>
          </w:p>
        </w:tc>
        <w:tc>
          <w:tcPr>
            <w:tcW w:w="3780" w:type="dxa"/>
          </w:tcPr>
          <w:p w14:paraId="1BB4287E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5’-CACAAAATTTGTTCGTTCGGCT-3’</w:t>
            </w:r>
          </w:p>
        </w:tc>
        <w:tc>
          <w:tcPr>
            <w:tcW w:w="3600" w:type="dxa"/>
          </w:tcPr>
          <w:p w14:paraId="6982268A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5’-GTGCAGGGTCCGAGGT-3’</w:t>
            </w:r>
          </w:p>
        </w:tc>
      </w:tr>
      <w:tr w:rsidR="005E6172" w:rsidRPr="004A7D00" w14:paraId="3E36B816" w14:textId="77777777" w:rsidTr="006F0647">
        <w:tc>
          <w:tcPr>
            <w:tcW w:w="1255" w:type="dxa"/>
          </w:tcPr>
          <w:p w14:paraId="3CE386DD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miR-146b</w:t>
            </w:r>
          </w:p>
        </w:tc>
        <w:tc>
          <w:tcPr>
            <w:tcW w:w="3780" w:type="dxa"/>
          </w:tcPr>
          <w:p w14:paraId="7FB9A36C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5’-TGACCCATCCTGGGCCTCAA-3’</w:t>
            </w:r>
          </w:p>
        </w:tc>
        <w:tc>
          <w:tcPr>
            <w:tcW w:w="3600" w:type="dxa"/>
          </w:tcPr>
          <w:p w14:paraId="0FBF6FF5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5’-CCAGTGGGCAAGATGTGGGCC-3’</w:t>
            </w:r>
          </w:p>
        </w:tc>
      </w:tr>
      <w:tr w:rsidR="005E6172" w:rsidRPr="004A7D00" w14:paraId="08E4EA8D" w14:textId="77777777" w:rsidTr="006F0647">
        <w:tc>
          <w:tcPr>
            <w:tcW w:w="1255" w:type="dxa"/>
          </w:tcPr>
          <w:p w14:paraId="5440F2AA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miR-221</w:t>
            </w:r>
          </w:p>
        </w:tc>
        <w:tc>
          <w:tcPr>
            <w:tcW w:w="3780" w:type="dxa"/>
          </w:tcPr>
          <w:p w14:paraId="5AAA5952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5’-CGCAGCTACATTGTCTGCTGG-3’</w:t>
            </w:r>
          </w:p>
        </w:tc>
        <w:tc>
          <w:tcPr>
            <w:tcW w:w="3600" w:type="dxa"/>
          </w:tcPr>
          <w:p w14:paraId="54317867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5’-GTGCAGGGTCCGAGGT-3’</w:t>
            </w:r>
          </w:p>
        </w:tc>
      </w:tr>
      <w:tr w:rsidR="005E6172" w:rsidRPr="004A7D00" w14:paraId="28FA1556" w14:textId="77777777" w:rsidTr="006F0647">
        <w:tc>
          <w:tcPr>
            <w:tcW w:w="1255" w:type="dxa"/>
          </w:tcPr>
          <w:p w14:paraId="5106E29C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miR-99b</w:t>
            </w:r>
          </w:p>
        </w:tc>
        <w:tc>
          <w:tcPr>
            <w:tcW w:w="3780" w:type="dxa"/>
          </w:tcPr>
          <w:p w14:paraId="10306E24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5’-GCCGAGCACCCGTAGAACCG-3’</w:t>
            </w:r>
          </w:p>
        </w:tc>
        <w:tc>
          <w:tcPr>
            <w:tcW w:w="3600" w:type="dxa"/>
          </w:tcPr>
          <w:p w14:paraId="2CFE0B09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5’-CTCAACTGGTGTCGTGGA-3’</w:t>
            </w:r>
          </w:p>
        </w:tc>
      </w:tr>
      <w:tr w:rsidR="005E6172" w:rsidRPr="004A7D00" w14:paraId="3EFD6DDD" w14:textId="77777777" w:rsidTr="006F0647">
        <w:tc>
          <w:tcPr>
            <w:tcW w:w="1255" w:type="dxa"/>
          </w:tcPr>
          <w:p w14:paraId="1D115F82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ATG14</w:t>
            </w:r>
          </w:p>
        </w:tc>
        <w:tc>
          <w:tcPr>
            <w:tcW w:w="3780" w:type="dxa"/>
          </w:tcPr>
          <w:p w14:paraId="3E89BAD8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5’-AAAGACGGGTGTGAGAGACC-3’</w:t>
            </w:r>
          </w:p>
        </w:tc>
        <w:tc>
          <w:tcPr>
            <w:tcW w:w="3600" w:type="dxa"/>
          </w:tcPr>
          <w:p w14:paraId="44D1C849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b/>
                <w:bCs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5’-GGTGTCTCCGTTGTGATCGT-3’</w:t>
            </w:r>
          </w:p>
        </w:tc>
      </w:tr>
      <w:tr w:rsidR="005E6172" w:rsidRPr="004A7D00" w14:paraId="120F35AC" w14:textId="77777777" w:rsidTr="006F0647">
        <w:tc>
          <w:tcPr>
            <w:tcW w:w="1255" w:type="dxa"/>
          </w:tcPr>
          <w:p w14:paraId="1B6C8CDB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ATG7</w:t>
            </w:r>
          </w:p>
        </w:tc>
        <w:tc>
          <w:tcPr>
            <w:tcW w:w="3780" w:type="dxa"/>
          </w:tcPr>
          <w:p w14:paraId="2E6471AB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5’-CAGTTTGCCCCTTTTAGTAGTGC-3’</w:t>
            </w:r>
          </w:p>
        </w:tc>
        <w:tc>
          <w:tcPr>
            <w:tcW w:w="3600" w:type="dxa"/>
          </w:tcPr>
          <w:p w14:paraId="5E698B3B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5’-CCAGCCGATACTCGTTCAGC-3’</w:t>
            </w:r>
          </w:p>
        </w:tc>
      </w:tr>
      <w:tr w:rsidR="005E6172" w:rsidRPr="004A7D00" w14:paraId="1426544A" w14:textId="77777777" w:rsidTr="006F0647">
        <w:tc>
          <w:tcPr>
            <w:tcW w:w="1255" w:type="dxa"/>
          </w:tcPr>
          <w:p w14:paraId="6C8AB5CA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ATG10</w:t>
            </w:r>
          </w:p>
        </w:tc>
        <w:tc>
          <w:tcPr>
            <w:tcW w:w="3780" w:type="dxa"/>
          </w:tcPr>
          <w:p w14:paraId="206CE9F7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5’-AATGGAAGGGCGACAGTGAG -3’</w:t>
            </w:r>
          </w:p>
        </w:tc>
        <w:tc>
          <w:tcPr>
            <w:tcW w:w="3600" w:type="dxa"/>
          </w:tcPr>
          <w:p w14:paraId="0D586BA5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5’-AGTCCTACACGCCACTTGAC-3’</w:t>
            </w:r>
          </w:p>
        </w:tc>
      </w:tr>
      <w:tr w:rsidR="005E6172" w:rsidRPr="004A7D00" w14:paraId="7F3014CB" w14:textId="77777777" w:rsidTr="006F0647">
        <w:tc>
          <w:tcPr>
            <w:tcW w:w="1255" w:type="dxa"/>
          </w:tcPr>
          <w:p w14:paraId="1D7C48F7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ATG2B</w:t>
            </w:r>
          </w:p>
        </w:tc>
        <w:tc>
          <w:tcPr>
            <w:tcW w:w="3780" w:type="dxa"/>
          </w:tcPr>
          <w:p w14:paraId="4407FA68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5’-AACTGCTGACGAATCCTCAGG -3’</w:t>
            </w:r>
          </w:p>
        </w:tc>
        <w:tc>
          <w:tcPr>
            <w:tcW w:w="3600" w:type="dxa"/>
          </w:tcPr>
          <w:p w14:paraId="011E36FC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5’-GGGGTTCCAGCTAGGTGAGA-3’</w:t>
            </w:r>
          </w:p>
        </w:tc>
      </w:tr>
      <w:tr w:rsidR="005E6172" w:rsidRPr="004A7D00" w14:paraId="338D596A" w14:textId="77777777" w:rsidTr="006F0647">
        <w:tc>
          <w:tcPr>
            <w:tcW w:w="1255" w:type="dxa"/>
          </w:tcPr>
          <w:p w14:paraId="729AB93D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RNU6B</w:t>
            </w:r>
          </w:p>
        </w:tc>
        <w:tc>
          <w:tcPr>
            <w:tcW w:w="3780" w:type="dxa"/>
          </w:tcPr>
          <w:p w14:paraId="34C14A87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5’-GCTTCGGCAGCACATATACTAT-3’</w:t>
            </w:r>
          </w:p>
        </w:tc>
        <w:tc>
          <w:tcPr>
            <w:tcW w:w="3600" w:type="dxa"/>
          </w:tcPr>
          <w:p w14:paraId="7654F023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5’-CGCTTCACGAATGCCTCTCAT-3’</w:t>
            </w:r>
          </w:p>
        </w:tc>
      </w:tr>
      <w:tr w:rsidR="005E6172" w:rsidRPr="004A7D00" w14:paraId="0AFAF6BB" w14:textId="77777777" w:rsidTr="006F0647">
        <w:tc>
          <w:tcPr>
            <w:tcW w:w="1255" w:type="dxa"/>
          </w:tcPr>
          <w:p w14:paraId="50AC0429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GAPDH</w:t>
            </w:r>
          </w:p>
        </w:tc>
        <w:tc>
          <w:tcPr>
            <w:tcW w:w="3780" w:type="dxa"/>
          </w:tcPr>
          <w:p w14:paraId="72286BC3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5’-GGTCTCCTCTGACTTCAACA-3’</w:t>
            </w:r>
          </w:p>
        </w:tc>
        <w:tc>
          <w:tcPr>
            <w:tcW w:w="3600" w:type="dxa"/>
          </w:tcPr>
          <w:p w14:paraId="13BB1400" w14:textId="77777777" w:rsidR="005E6172" w:rsidRPr="004A7D00" w:rsidRDefault="005E6172" w:rsidP="006F0647">
            <w:pPr>
              <w:spacing w:line="480" w:lineRule="auto"/>
              <w:rPr>
                <w:rFonts w:ascii="Arial" w:hAnsi="Arial" w:cs="Arial"/>
                <w:color w:val="000000"/>
                <w:sz w:val="18"/>
                <w:szCs w:val="2"/>
              </w:rPr>
            </w:pPr>
            <w:r w:rsidRPr="004A7D00">
              <w:rPr>
                <w:rFonts w:ascii="Arial" w:hAnsi="Arial" w:cs="Arial"/>
                <w:color w:val="000000"/>
                <w:sz w:val="18"/>
                <w:szCs w:val="2"/>
              </w:rPr>
              <w:t>5’-GTGAGGGTCTCTCTCTTCCT-3’</w:t>
            </w:r>
          </w:p>
        </w:tc>
      </w:tr>
    </w:tbl>
    <w:p w14:paraId="430595E2" w14:textId="77777777" w:rsidR="00A01683" w:rsidRDefault="00A01683"/>
    <w:sectPr w:rsidR="00A016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楷体"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AD"/>
    <w:rsid w:val="005350AD"/>
    <w:rsid w:val="005E6172"/>
    <w:rsid w:val="00A01683"/>
    <w:rsid w:val="00BD4ECC"/>
    <w:rsid w:val="00DF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0FF97"/>
  <w15:chartTrackingRefBased/>
  <w15:docId w15:val="{BC19A5D5-D82E-4A0E-8973-3C6B4A1F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华文楷体" w:hAnsi="Times New Roman" w:cs="Times New Roman"/>
        <w:kern w:val="2"/>
        <w:sz w:val="32"/>
        <w:szCs w:val="1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172"/>
    <w:pPr>
      <w:widowControl w:val="0"/>
      <w:jc w:val="both"/>
    </w:pPr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E6172"/>
    <w:pPr>
      <w:widowControl w:val="0"/>
      <w:jc w:val="both"/>
    </w:pPr>
    <w:rPr>
      <w:rFonts w:eastAsia="宋体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574317205@qq.com</dc:creator>
  <cp:keywords/>
  <dc:description/>
  <cp:lastModifiedBy>574317205@qq.com</cp:lastModifiedBy>
  <cp:revision>4</cp:revision>
  <dcterms:created xsi:type="dcterms:W3CDTF">2020-03-10T15:27:00Z</dcterms:created>
  <dcterms:modified xsi:type="dcterms:W3CDTF">2020-03-10T15:38:00Z</dcterms:modified>
</cp:coreProperties>
</file>