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4A642" w14:textId="77777777" w:rsidR="00EA362B" w:rsidRPr="00B403BE" w:rsidRDefault="00EA362B" w:rsidP="00EA362B">
      <w:pPr>
        <w:rPr>
          <w:rFonts w:ascii="Times New Roman" w:hAnsi="Times New Roman" w:cs="Times New Roman"/>
          <w:b/>
          <w:bCs/>
        </w:rPr>
      </w:pPr>
      <w:r w:rsidRPr="00B403BE">
        <w:rPr>
          <w:rFonts w:ascii="Times New Roman" w:hAnsi="Times New Roman" w:cs="Times New Roman"/>
          <w:b/>
          <w:bCs/>
        </w:rPr>
        <w:t>Supplementary information</w:t>
      </w:r>
    </w:p>
    <w:p w14:paraId="05FB284B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0F457188" w14:textId="77777777" w:rsidR="00EA362B" w:rsidRDefault="00EA362B" w:rsidP="00EA362B">
      <w:pPr>
        <w:rPr>
          <w:rFonts w:ascii="Times New Roman" w:hAnsi="Times New Roman" w:cs="Times New Roman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0288" behindDoc="0" locked="0" layoutInCell="1" allowOverlap="1" wp14:anchorId="039BFCFC" wp14:editId="1244FDDB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4241800" cy="3130550"/>
            <wp:effectExtent l="0" t="0" r="635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12F4B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7220359F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58B60BD2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5AF06941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5402C704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0999CD95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6C707A88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3219B675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1F797482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11775614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2A2DEF3F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3F3FFD48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14E4923E" w14:textId="6BFA2FE4" w:rsidR="00EA362B" w:rsidRDefault="00EA362B" w:rsidP="00EA362B">
      <w:pPr>
        <w:rPr>
          <w:rFonts w:ascii="Times New Roman" w:hAnsi="Times New Roman" w:cs="Times New Roman"/>
        </w:rPr>
      </w:pPr>
      <w:r w:rsidRPr="000A3EB4">
        <w:rPr>
          <w:rFonts w:ascii="Times New Roman" w:hAnsi="Times New Roman" w:cs="Times New Roman"/>
          <w:b/>
          <w:bCs/>
        </w:rPr>
        <w:t xml:space="preserve"> </w:t>
      </w:r>
      <w:r w:rsidRPr="00A1290F">
        <w:rPr>
          <w:rFonts w:ascii="Times New Roman" w:hAnsi="Times New Roman" w:cs="Times New Roman"/>
          <w:b/>
          <w:bCs/>
        </w:rPr>
        <w:t xml:space="preserve">Figure </w:t>
      </w:r>
      <w:r w:rsidR="006E6EE9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r w:rsidRPr="00A1290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Associations of baseline plasma APOC-III levels with changes in CSF AD pathologies.</w:t>
      </w:r>
      <w:r>
        <w:rPr>
          <w:rFonts w:ascii="Times New Roman" w:hAnsi="Times New Roman" w:cs="Times New Roman"/>
        </w:rPr>
        <w:t xml:space="preserve"> </w:t>
      </w:r>
    </w:p>
    <w:p w14:paraId="1FCB1B42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4DE1786F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5DD622C6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7B00E7B5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6CC60C87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04DB87F7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74FBB803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77CF4E83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6703E881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1BFB92E1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1D3E7870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009F2B18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7544F95A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721EF664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28DF5A15" w14:textId="77777777" w:rsidR="00EA362B" w:rsidRDefault="00EA362B" w:rsidP="00EA362B">
      <w:pPr>
        <w:rPr>
          <w:rFonts w:ascii="Times New Roman" w:hAnsi="Times New Roman" w:cs="Times New Roman"/>
        </w:rPr>
      </w:pPr>
    </w:p>
    <w:p w14:paraId="1B8FA5EE" w14:textId="77777777" w:rsidR="00EA362B" w:rsidRDefault="00EA362B" w:rsidP="00EA362B">
      <w:pPr>
        <w:rPr>
          <w:rFonts w:ascii="Times New Roman" w:hAnsi="Times New Roman" w:cs="Times New Roman"/>
        </w:rPr>
      </w:pPr>
      <w:r>
        <w:rPr>
          <w:noProof/>
          <w:lang w:val="en-NZ" w:eastAsia="en-NZ"/>
        </w:rPr>
        <w:lastRenderedPageBreak/>
        <w:drawing>
          <wp:anchor distT="0" distB="0" distL="114300" distR="114300" simplePos="0" relativeHeight="251659264" behindDoc="0" locked="0" layoutInCell="1" allowOverlap="1" wp14:anchorId="7BCB77C6" wp14:editId="47BED021">
            <wp:simplePos x="0" y="0"/>
            <wp:positionH relativeFrom="margin">
              <wp:posOffset>-654050</wp:posOffset>
            </wp:positionH>
            <wp:positionV relativeFrom="paragraph">
              <wp:posOffset>273050</wp:posOffset>
            </wp:positionV>
            <wp:extent cx="6705600" cy="3041650"/>
            <wp:effectExtent l="0" t="0" r="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D6E2E" w14:textId="780C3D21" w:rsidR="00EA362B" w:rsidRDefault="00EA362B" w:rsidP="00EA362B">
      <w:pPr>
        <w:rPr>
          <w:rFonts w:ascii="Times New Roman" w:hAnsi="Times New Roman" w:cs="Times New Roman"/>
          <w:b/>
          <w:bCs/>
        </w:rPr>
      </w:pPr>
      <w:r w:rsidRPr="003C4FBA">
        <w:rPr>
          <w:rFonts w:ascii="Times New Roman" w:hAnsi="Times New Roman" w:cs="Times New Roman"/>
          <w:b/>
          <w:bCs/>
        </w:rPr>
        <w:t xml:space="preserve">Figure </w:t>
      </w:r>
      <w:r w:rsidR="006E6EE9">
        <w:rPr>
          <w:rFonts w:ascii="Times New Roman" w:hAnsi="Times New Roman" w:cs="Times New Roman"/>
          <w:b/>
          <w:bCs/>
        </w:rPr>
        <w:t>S</w:t>
      </w:r>
      <w:r w:rsidRPr="003C4FBA"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  <w:bCs/>
        </w:rPr>
        <w:t xml:space="preserve">Associations of baseline plasma APOC-III levels with changes in CSF AD pathologies over one year. </w:t>
      </w:r>
    </w:p>
    <w:p w14:paraId="79D8C8ED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0CA133CC" w14:textId="77777777" w:rsidR="00EA362B" w:rsidRDefault="00EA362B" w:rsidP="00EA362B">
      <w:pPr>
        <w:rPr>
          <w:rFonts w:ascii="Times New Roman" w:hAnsi="Times New Roman" w:cs="Times New Roman"/>
          <w:b/>
          <w:bCs/>
        </w:rPr>
      </w:pPr>
    </w:p>
    <w:p w14:paraId="1F4CCACA" w14:textId="08920C35" w:rsidR="00EA362B" w:rsidRPr="00A66B3C" w:rsidRDefault="00EA362B" w:rsidP="00EA362B">
      <w:pPr>
        <w:rPr>
          <w:rFonts w:ascii="Times New Roman" w:hAnsi="Times New Roman" w:cs="Times New Roman"/>
          <w:b/>
        </w:rPr>
      </w:pPr>
      <w:r w:rsidRPr="00A66B3C">
        <w:rPr>
          <w:rFonts w:ascii="Times New Roman" w:hAnsi="Times New Roman" w:cs="Times New Roman"/>
          <w:b/>
        </w:rPr>
        <w:t xml:space="preserve">Table </w:t>
      </w:r>
      <w:r w:rsidR="006E6EE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1</w:t>
      </w:r>
      <w:r w:rsidRPr="00A66B3C">
        <w:rPr>
          <w:rFonts w:ascii="Times New Roman" w:hAnsi="Times New Roman" w:cs="Times New Roman"/>
          <w:b/>
        </w:rPr>
        <w:t>. Summary of linear mixed models</w:t>
      </w:r>
      <w:r>
        <w:rPr>
          <w:rFonts w:ascii="Times New Roman" w:hAnsi="Times New Roman" w:cs="Times New Roman"/>
          <w:b/>
        </w:rPr>
        <w:t xml:space="preserve"> examining the associations of plasma APOC-III with changes in CSF AD pathologies over a year</w:t>
      </w:r>
    </w:p>
    <w:tbl>
      <w:tblPr>
        <w:tblStyle w:val="TableGrid"/>
        <w:tblW w:w="1030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2364"/>
        <w:gridCol w:w="2088"/>
        <w:gridCol w:w="2229"/>
      </w:tblGrid>
      <w:tr w:rsidR="00EA362B" w14:paraId="577BFF45" w14:textId="77777777" w:rsidTr="00182629">
        <w:trPr>
          <w:trHeight w:val="476"/>
        </w:trPr>
        <w:tc>
          <w:tcPr>
            <w:tcW w:w="10300" w:type="dxa"/>
            <w:gridSpan w:val="4"/>
            <w:tcBorders>
              <w:top w:val="single" w:sz="4" w:space="0" w:color="auto"/>
            </w:tcBorders>
          </w:tcPr>
          <w:p w14:paraId="600C6B44" w14:textId="77777777" w:rsidR="00EA362B" w:rsidRPr="00993FC4" w:rsidRDefault="00EA362B" w:rsidP="001826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3FC4">
              <w:rPr>
                <w:rFonts w:ascii="Times New Roman" w:hAnsi="Times New Roman" w:cs="Times New Roman"/>
                <w:bCs/>
              </w:rPr>
              <w:t>Dependent variable: CSF Aβ42</w:t>
            </w:r>
          </w:p>
        </w:tc>
      </w:tr>
      <w:tr w:rsidR="00EA362B" w14:paraId="65E7098E" w14:textId="77777777" w:rsidTr="00182629">
        <w:trPr>
          <w:trHeight w:val="298"/>
        </w:trPr>
        <w:tc>
          <w:tcPr>
            <w:tcW w:w="3619" w:type="dxa"/>
            <w:tcBorders>
              <w:top w:val="single" w:sz="4" w:space="0" w:color="auto"/>
            </w:tcBorders>
          </w:tcPr>
          <w:p w14:paraId="4AFCE5AA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Predictors 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63037E4D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18113E1F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6888DF2F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</w:tr>
      <w:tr w:rsidR="00EA362B" w14:paraId="2964AD6A" w14:textId="77777777" w:rsidTr="00182629">
        <w:trPr>
          <w:trHeight w:val="358"/>
        </w:trPr>
        <w:tc>
          <w:tcPr>
            <w:tcW w:w="3619" w:type="dxa"/>
          </w:tcPr>
          <w:p w14:paraId="6B66739C" w14:textId="77777777" w:rsidR="00EA362B" w:rsidRPr="002957C9" w:rsidRDefault="00EA362B" w:rsidP="00182629">
            <w:pPr>
              <w:rPr>
                <w:rFonts w:ascii="Times New Roman" w:hAnsi="Times New Roman" w:cs="Times New Roman"/>
              </w:rPr>
            </w:pPr>
            <w:r w:rsidRPr="00295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95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Middle </w:t>
            </w:r>
            <w:r w:rsidRPr="002957C9">
              <w:rPr>
                <w:rFonts w:ascii="Times New Roman" w:hAnsi="Times New Roman" w:cs="Times New Roman"/>
              </w:rPr>
              <w:t xml:space="preserve">APOC-III </w:t>
            </w:r>
            <w:r w:rsidRPr="002957C9">
              <w:rPr>
                <w:rFonts w:ascii="Times New Roman" w:hAnsi="Times New Roman" w:cs="Times New Roman" w:hint="eastAsia"/>
              </w:rPr>
              <w:t>×</w:t>
            </w:r>
            <w:r w:rsidRPr="002957C9">
              <w:rPr>
                <w:rFonts w:ascii="Times New Roman" w:hAnsi="Times New Roman" w:cs="Times New Roman" w:hint="eastAsia"/>
              </w:rPr>
              <w:t xml:space="preserve"> </w:t>
            </w:r>
            <w:r w:rsidRPr="002957C9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364" w:type="dxa"/>
          </w:tcPr>
          <w:p w14:paraId="546E1E82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-6.7985</w:t>
            </w:r>
          </w:p>
        </w:tc>
        <w:tc>
          <w:tcPr>
            <w:tcW w:w="2088" w:type="dxa"/>
          </w:tcPr>
          <w:p w14:paraId="1F953E5D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3.0356</w:t>
            </w:r>
          </w:p>
        </w:tc>
        <w:tc>
          <w:tcPr>
            <w:tcW w:w="2227" w:type="dxa"/>
          </w:tcPr>
          <w:p w14:paraId="3B864728" w14:textId="77777777" w:rsidR="00EA362B" w:rsidRPr="00993FC4" w:rsidRDefault="00EA362B" w:rsidP="00182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FC4">
              <w:rPr>
                <w:rFonts w:ascii="Times New Roman" w:hAnsi="Times New Roman" w:cs="Times New Roman"/>
                <w:b/>
                <w:bCs/>
              </w:rPr>
              <w:t>0.0251</w:t>
            </w:r>
          </w:p>
        </w:tc>
      </w:tr>
      <w:tr w:rsidR="00EA362B" w14:paraId="2699FD6B" w14:textId="77777777" w:rsidTr="00182629">
        <w:trPr>
          <w:trHeight w:val="358"/>
        </w:trPr>
        <w:tc>
          <w:tcPr>
            <w:tcW w:w="3619" w:type="dxa"/>
          </w:tcPr>
          <w:p w14:paraId="165D73DB" w14:textId="77777777" w:rsidR="00EA362B" w:rsidRPr="002957C9" w:rsidRDefault="00EA362B" w:rsidP="00182629">
            <w:pPr>
              <w:rPr>
                <w:rFonts w:ascii="Times New Roman" w:hAnsi="Times New Roman" w:cs="Times New Roman"/>
              </w:rPr>
            </w:pPr>
            <w:r w:rsidRPr="002957C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High </w:t>
            </w:r>
            <w:r w:rsidRPr="002957C9">
              <w:rPr>
                <w:rFonts w:ascii="Times New Roman" w:hAnsi="Times New Roman" w:cs="Times New Roman"/>
              </w:rPr>
              <w:t xml:space="preserve">APOC-III </w:t>
            </w:r>
            <w:r w:rsidRPr="002957C9">
              <w:rPr>
                <w:rFonts w:ascii="Times New Roman" w:hAnsi="Times New Roman" w:cs="Times New Roman" w:hint="eastAsia"/>
              </w:rPr>
              <w:t>×</w:t>
            </w:r>
            <w:r w:rsidRPr="002957C9">
              <w:rPr>
                <w:rFonts w:ascii="Times New Roman" w:hAnsi="Times New Roman" w:cs="Times New Roman" w:hint="eastAsia"/>
              </w:rPr>
              <w:t xml:space="preserve"> </w:t>
            </w:r>
            <w:r w:rsidRPr="002957C9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364" w:type="dxa"/>
          </w:tcPr>
          <w:p w14:paraId="1A3262D1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-1.0215</w:t>
            </w:r>
          </w:p>
        </w:tc>
        <w:tc>
          <w:tcPr>
            <w:tcW w:w="2088" w:type="dxa"/>
          </w:tcPr>
          <w:p w14:paraId="1A059FA1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3.0356</w:t>
            </w:r>
          </w:p>
        </w:tc>
        <w:tc>
          <w:tcPr>
            <w:tcW w:w="2227" w:type="dxa"/>
          </w:tcPr>
          <w:p w14:paraId="64C9A3B3" w14:textId="77777777" w:rsidR="00EA362B" w:rsidRPr="003473E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 w:rsidRPr="003473EB">
              <w:rPr>
                <w:rFonts w:ascii="Times New Roman" w:hAnsi="Times New Roman" w:cs="Times New Roman"/>
              </w:rPr>
              <w:t>0.7365</w:t>
            </w:r>
          </w:p>
        </w:tc>
      </w:tr>
      <w:tr w:rsidR="00EA362B" w14:paraId="7E5068E4" w14:textId="77777777" w:rsidTr="00182629">
        <w:trPr>
          <w:trHeight w:val="556"/>
        </w:trPr>
        <w:tc>
          <w:tcPr>
            <w:tcW w:w="10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9BC137" w14:textId="77777777" w:rsidR="00EA362B" w:rsidRPr="00993FC4" w:rsidRDefault="00EA362B" w:rsidP="001826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3FC4">
              <w:rPr>
                <w:rFonts w:ascii="Times New Roman" w:hAnsi="Times New Roman" w:cs="Times New Roman"/>
                <w:bCs/>
              </w:rPr>
              <w:t>Dependent variable: CSF t-tau</w:t>
            </w:r>
          </w:p>
        </w:tc>
      </w:tr>
      <w:tr w:rsidR="00EA362B" w14:paraId="79972039" w14:textId="77777777" w:rsidTr="00182629">
        <w:trPr>
          <w:trHeight w:val="310"/>
        </w:trPr>
        <w:tc>
          <w:tcPr>
            <w:tcW w:w="3619" w:type="dxa"/>
            <w:tcBorders>
              <w:top w:val="single" w:sz="4" w:space="0" w:color="auto"/>
            </w:tcBorders>
          </w:tcPr>
          <w:p w14:paraId="6DD4F43A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Predictors </w:t>
            </w:r>
          </w:p>
        </w:tc>
        <w:tc>
          <w:tcPr>
            <w:tcW w:w="2364" w:type="dxa"/>
          </w:tcPr>
          <w:p w14:paraId="1DAA4996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</w:t>
            </w:r>
          </w:p>
        </w:tc>
        <w:tc>
          <w:tcPr>
            <w:tcW w:w="2088" w:type="dxa"/>
          </w:tcPr>
          <w:p w14:paraId="28D5C45A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227" w:type="dxa"/>
          </w:tcPr>
          <w:p w14:paraId="2BDA87C3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</w:tr>
      <w:tr w:rsidR="00EA362B" w14:paraId="5FE719E8" w14:textId="77777777" w:rsidTr="00182629">
        <w:trPr>
          <w:trHeight w:val="346"/>
        </w:trPr>
        <w:tc>
          <w:tcPr>
            <w:tcW w:w="3619" w:type="dxa"/>
          </w:tcPr>
          <w:p w14:paraId="35BC297D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 w:rsidRPr="00295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95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Middle </w:t>
            </w:r>
            <w:r w:rsidRPr="002957C9">
              <w:rPr>
                <w:rFonts w:ascii="Times New Roman" w:hAnsi="Times New Roman" w:cs="Times New Roman"/>
              </w:rPr>
              <w:t xml:space="preserve">APOC-III </w:t>
            </w:r>
            <w:r w:rsidRPr="002957C9">
              <w:rPr>
                <w:rFonts w:ascii="Times New Roman" w:hAnsi="Times New Roman" w:cs="Times New Roman" w:hint="eastAsia"/>
              </w:rPr>
              <w:t>×</w:t>
            </w:r>
            <w:r w:rsidRPr="002957C9">
              <w:rPr>
                <w:rFonts w:ascii="Times New Roman" w:hAnsi="Times New Roman" w:cs="Times New Roman" w:hint="eastAsia"/>
              </w:rPr>
              <w:t xml:space="preserve"> </w:t>
            </w:r>
            <w:r w:rsidRPr="002957C9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364" w:type="dxa"/>
          </w:tcPr>
          <w:p w14:paraId="0E9060C7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0.5415</w:t>
            </w:r>
          </w:p>
        </w:tc>
        <w:tc>
          <w:tcPr>
            <w:tcW w:w="2088" w:type="dxa"/>
          </w:tcPr>
          <w:p w14:paraId="53DD66E4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3.3874</w:t>
            </w:r>
          </w:p>
        </w:tc>
        <w:tc>
          <w:tcPr>
            <w:tcW w:w="2227" w:type="dxa"/>
          </w:tcPr>
          <w:p w14:paraId="6FC1264C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0.8730</w:t>
            </w:r>
          </w:p>
        </w:tc>
      </w:tr>
      <w:tr w:rsidR="00EA362B" w14:paraId="62EC7369" w14:textId="77777777" w:rsidTr="00182629">
        <w:trPr>
          <w:trHeight w:val="358"/>
        </w:trPr>
        <w:tc>
          <w:tcPr>
            <w:tcW w:w="3619" w:type="dxa"/>
          </w:tcPr>
          <w:p w14:paraId="3FD9D37D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 w:rsidRPr="002957C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High </w:t>
            </w:r>
            <w:r w:rsidRPr="002957C9">
              <w:rPr>
                <w:rFonts w:ascii="Times New Roman" w:hAnsi="Times New Roman" w:cs="Times New Roman"/>
              </w:rPr>
              <w:t xml:space="preserve">APOC-III </w:t>
            </w:r>
            <w:r w:rsidRPr="002957C9">
              <w:rPr>
                <w:rFonts w:ascii="Times New Roman" w:hAnsi="Times New Roman" w:cs="Times New Roman" w:hint="eastAsia"/>
              </w:rPr>
              <w:t>×</w:t>
            </w:r>
            <w:r w:rsidRPr="002957C9">
              <w:rPr>
                <w:rFonts w:ascii="Times New Roman" w:hAnsi="Times New Roman" w:cs="Times New Roman" w:hint="eastAsia"/>
              </w:rPr>
              <w:t xml:space="preserve"> </w:t>
            </w:r>
            <w:r w:rsidRPr="002957C9">
              <w:rPr>
                <w:rFonts w:ascii="Times New Roman" w:hAnsi="Times New Roman" w:cs="Times New Roman"/>
              </w:rPr>
              <w:t>time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</w:tcPr>
          <w:p w14:paraId="22934611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1.1908</w:t>
            </w:r>
          </w:p>
        </w:tc>
        <w:tc>
          <w:tcPr>
            <w:tcW w:w="2088" w:type="dxa"/>
          </w:tcPr>
          <w:p w14:paraId="06F3C3FC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3.3874</w:t>
            </w:r>
          </w:p>
        </w:tc>
        <w:tc>
          <w:tcPr>
            <w:tcW w:w="2227" w:type="dxa"/>
          </w:tcPr>
          <w:p w14:paraId="50B24ACD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0.7252</w:t>
            </w:r>
          </w:p>
        </w:tc>
      </w:tr>
      <w:tr w:rsidR="00EA362B" w14:paraId="3FBDF900" w14:textId="77777777" w:rsidTr="00182629">
        <w:trPr>
          <w:trHeight w:val="609"/>
        </w:trPr>
        <w:tc>
          <w:tcPr>
            <w:tcW w:w="10300" w:type="dxa"/>
            <w:gridSpan w:val="4"/>
            <w:tcBorders>
              <w:top w:val="single" w:sz="4" w:space="0" w:color="auto"/>
            </w:tcBorders>
          </w:tcPr>
          <w:p w14:paraId="2414744A" w14:textId="77777777" w:rsidR="00EA362B" w:rsidRPr="00993FC4" w:rsidRDefault="00EA362B" w:rsidP="001826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3FC4">
              <w:rPr>
                <w:rFonts w:ascii="Times New Roman" w:hAnsi="Times New Roman" w:cs="Times New Roman"/>
                <w:bCs/>
              </w:rPr>
              <w:t>Dependent variable: CSF p-tau</w:t>
            </w:r>
          </w:p>
        </w:tc>
      </w:tr>
      <w:tr w:rsidR="00EA362B" w14:paraId="50C4B6C8" w14:textId="77777777" w:rsidTr="00182629">
        <w:trPr>
          <w:trHeight w:val="310"/>
        </w:trPr>
        <w:tc>
          <w:tcPr>
            <w:tcW w:w="3619" w:type="dxa"/>
            <w:tcBorders>
              <w:top w:val="single" w:sz="4" w:space="0" w:color="auto"/>
            </w:tcBorders>
          </w:tcPr>
          <w:p w14:paraId="76063EBA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Predictors 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68A15B95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11434045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5C054213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</w:tr>
      <w:tr w:rsidR="00EA362B" w14:paraId="1EF66E5E" w14:textId="77777777" w:rsidTr="00182629">
        <w:trPr>
          <w:trHeight w:val="346"/>
        </w:trPr>
        <w:tc>
          <w:tcPr>
            <w:tcW w:w="3619" w:type="dxa"/>
          </w:tcPr>
          <w:p w14:paraId="25A4F55E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 w:rsidRPr="00295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95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Middle </w:t>
            </w:r>
            <w:r w:rsidRPr="002957C9">
              <w:rPr>
                <w:rFonts w:ascii="Times New Roman" w:hAnsi="Times New Roman" w:cs="Times New Roman"/>
              </w:rPr>
              <w:t xml:space="preserve">APOC-III </w:t>
            </w:r>
            <w:r w:rsidRPr="002957C9">
              <w:rPr>
                <w:rFonts w:ascii="Times New Roman" w:hAnsi="Times New Roman" w:cs="Times New Roman" w:hint="eastAsia"/>
              </w:rPr>
              <w:t>×</w:t>
            </w:r>
            <w:r w:rsidRPr="002957C9">
              <w:rPr>
                <w:rFonts w:ascii="Times New Roman" w:hAnsi="Times New Roman" w:cs="Times New Roman" w:hint="eastAsia"/>
              </w:rPr>
              <w:t xml:space="preserve"> </w:t>
            </w:r>
            <w:r w:rsidRPr="002957C9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364" w:type="dxa"/>
          </w:tcPr>
          <w:p w14:paraId="4465E167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4.9641</w:t>
            </w:r>
          </w:p>
        </w:tc>
        <w:tc>
          <w:tcPr>
            <w:tcW w:w="2088" w:type="dxa"/>
          </w:tcPr>
          <w:p w14:paraId="1385067C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2.4948</w:t>
            </w:r>
          </w:p>
        </w:tc>
        <w:tc>
          <w:tcPr>
            <w:tcW w:w="2227" w:type="dxa"/>
          </w:tcPr>
          <w:p w14:paraId="71568342" w14:textId="77777777" w:rsidR="00EA362B" w:rsidRPr="00993FC4" w:rsidRDefault="00EA362B" w:rsidP="00182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FC4">
              <w:rPr>
                <w:rFonts w:ascii="Times New Roman" w:hAnsi="Times New Roman" w:cs="Times New Roman"/>
                <w:b/>
                <w:bCs/>
              </w:rPr>
              <w:t>0.0467</w:t>
            </w:r>
          </w:p>
        </w:tc>
      </w:tr>
      <w:tr w:rsidR="00EA362B" w14:paraId="7183E985" w14:textId="77777777" w:rsidTr="00182629">
        <w:trPr>
          <w:trHeight w:val="358"/>
        </w:trPr>
        <w:tc>
          <w:tcPr>
            <w:tcW w:w="3619" w:type="dxa"/>
            <w:tcBorders>
              <w:bottom w:val="single" w:sz="4" w:space="0" w:color="auto"/>
            </w:tcBorders>
          </w:tcPr>
          <w:p w14:paraId="6EF4DB7F" w14:textId="77777777" w:rsidR="00EA362B" w:rsidRDefault="00EA362B" w:rsidP="00182629">
            <w:pPr>
              <w:rPr>
                <w:rFonts w:ascii="Times New Roman" w:hAnsi="Times New Roman" w:cs="Times New Roman"/>
              </w:rPr>
            </w:pPr>
            <w:r w:rsidRPr="002957C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High </w:t>
            </w:r>
            <w:r w:rsidRPr="002957C9">
              <w:rPr>
                <w:rFonts w:ascii="Times New Roman" w:hAnsi="Times New Roman" w:cs="Times New Roman"/>
              </w:rPr>
              <w:t xml:space="preserve">APOC-III </w:t>
            </w:r>
            <w:r w:rsidRPr="002957C9">
              <w:rPr>
                <w:rFonts w:ascii="Times New Roman" w:hAnsi="Times New Roman" w:cs="Times New Roman" w:hint="eastAsia"/>
              </w:rPr>
              <w:t>×</w:t>
            </w:r>
            <w:r w:rsidRPr="002957C9">
              <w:rPr>
                <w:rFonts w:ascii="Times New Roman" w:hAnsi="Times New Roman" w:cs="Times New Roman" w:hint="eastAsia"/>
              </w:rPr>
              <w:t xml:space="preserve"> </w:t>
            </w:r>
            <w:r w:rsidRPr="002957C9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42957EB0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1.2523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7C2A00F9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2.4948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727444E5" w14:textId="77777777" w:rsidR="00EA362B" w:rsidRDefault="00EA362B" w:rsidP="00182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0.6147</w:t>
            </w:r>
          </w:p>
        </w:tc>
      </w:tr>
    </w:tbl>
    <w:p w14:paraId="439FF334" w14:textId="3E645B99" w:rsidR="00BB161B" w:rsidRDefault="00EA362B">
      <w:r>
        <w:rPr>
          <w:rFonts w:ascii="Times New Roman" w:hAnsi="Times New Roman" w:cs="Times New Roman"/>
        </w:rPr>
        <w:t xml:space="preserve">Abbreviation: APOC-III: apolipoprotein C-III; </w:t>
      </w:r>
      <w:r w:rsidRPr="00AD056B">
        <w:rPr>
          <w:rFonts w:ascii="Times New Roman" w:hAnsi="Times New Roman" w:cs="Times New Roman"/>
        </w:rPr>
        <w:t>Aβ42: β</w:t>
      </w:r>
      <w:r>
        <w:rPr>
          <w:rFonts w:ascii="Times New Roman" w:hAnsi="Times New Roman" w:cs="Times New Roman"/>
        </w:rPr>
        <w:t>-</w:t>
      </w:r>
      <w:r w:rsidRPr="00AD056B">
        <w:rPr>
          <w:rFonts w:ascii="Times New Roman" w:hAnsi="Times New Roman" w:cs="Times New Roman"/>
        </w:rPr>
        <w:t>amyloid 42; t-tau: total tau; p-tau: phosphorylated tau.</w:t>
      </w:r>
      <w:r>
        <w:rPr>
          <w:rFonts w:ascii="Times New Roman" w:hAnsi="Times New Roman" w:cs="Times New Roman"/>
        </w:rPr>
        <w:t xml:space="preserve"> Estimates are unstandardized values, representing the amount of change in each CSF AD biomarker per year. </w:t>
      </w:r>
      <w:r w:rsidRPr="002F563B">
        <w:rPr>
          <w:rFonts w:ascii="Times New Roman" w:hAnsi="Times New Roman" w:cs="Times New Roman"/>
        </w:rPr>
        <w:t xml:space="preserve">All linear mixed models were adjusted for age, education, </w:t>
      </w:r>
      <w:r>
        <w:rPr>
          <w:rFonts w:ascii="Times New Roman" w:hAnsi="Times New Roman" w:cs="Times New Roman"/>
        </w:rPr>
        <w:t>sex</w:t>
      </w:r>
      <w:r w:rsidRPr="002F563B">
        <w:rPr>
          <w:rFonts w:ascii="Times New Roman" w:hAnsi="Times New Roman" w:cs="Times New Roman"/>
        </w:rPr>
        <w:t xml:space="preserve"> and APOE4 genotype.</w:t>
      </w:r>
      <w:bookmarkStart w:id="0" w:name="_GoBack"/>
      <w:bookmarkEnd w:id="0"/>
    </w:p>
    <w:sectPr w:rsidR="00BB161B" w:rsidSect="00A9027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52"/>
    <w:rsid w:val="00057796"/>
    <w:rsid w:val="00417D52"/>
    <w:rsid w:val="006E6EE9"/>
    <w:rsid w:val="00A90275"/>
    <w:rsid w:val="00BB161B"/>
    <w:rsid w:val="00E21DA4"/>
    <w:rsid w:val="00E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5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2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2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张</dc:creator>
  <cp:lastModifiedBy>Tania</cp:lastModifiedBy>
  <cp:revision>2</cp:revision>
  <dcterms:created xsi:type="dcterms:W3CDTF">2020-04-01T03:02:00Z</dcterms:created>
  <dcterms:modified xsi:type="dcterms:W3CDTF">2020-04-01T03:02:00Z</dcterms:modified>
</cp:coreProperties>
</file>